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4.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omments.xml" ContentType="application/vnd.openxmlformats-officedocument.wordprocessingml.comment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word/commentsIds.xml" ContentType="application/vnd.openxmlformats-officedocument.wordprocessingml.commentsIds+xml"/>
  <Override PartName="/word/commentsExtended.xml" ContentType="application/vnd.openxmlformats-officedocument.wordprocessingml.commentsExtended+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D93BA6" w14:textId="780F330C" w:rsidR="00A67C52" w:rsidRPr="00367937" w:rsidRDefault="00A67C52" w:rsidP="002708C8">
      <w:pPr>
        <w:pStyle w:val="Style6"/>
      </w:pPr>
    </w:p>
    <w:p w14:paraId="66457968" w14:textId="00D66934" w:rsidR="00F72AB3" w:rsidRDefault="00F72AB3" w:rsidP="00ED4622"/>
    <w:p w14:paraId="6B4506E0" w14:textId="77777777" w:rsidR="00F72AB3" w:rsidRPr="00F72AB3" w:rsidRDefault="00F72AB3" w:rsidP="00F72AB3"/>
    <w:p w14:paraId="0C086FF7" w14:textId="14EEC67F" w:rsidR="00F72AB3" w:rsidRPr="00F72AB3" w:rsidRDefault="00BC6473" w:rsidP="00F72AB3">
      <w:r>
        <w:rPr>
          <w:noProof/>
        </w:rPr>
        <mc:AlternateContent>
          <mc:Choice Requires="wps">
            <w:drawing>
              <wp:anchor distT="0" distB="0" distL="114300" distR="114300" simplePos="0" relativeHeight="251673600" behindDoc="0" locked="0" layoutInCell="1" allowOverlap="1" wp14:anchorId="6A26B2C1" wp14:editId="2271663E">
                <wp:simplePos x="0" y="0"/>
                <wp:positionH relativeFrom="column">
                  <wp:posOffset>64135</wp:posOffset>
                </wp:positionH>
                <wp:positionV relativeFrom="paragraph">
                  <wp:posOffset>80645</wp:posOffset>
                </wp:positionV>
                <wp:extent cx="6335395" cy="2622430"/>
                <wp:effectExtent l="0" t="0" r="1905" b="0"/>
                <wp:wrapNone/>
                <wp:docPr id="3" name="Zone de texte 3"/>
                <wp:cNvGraphicFramePr/>
                <a:graphic xmlns:a="http://schemas.openxmlformats.org/drawingml/2006/main">
                  <a:graphicData uri="http://schemas.microsoft.com/office/word/2010/wordprocessingShape">
                    <wps:wsp>
                      <wps:cNvSpPr txBox="1"/>
                      <wps:spPr>
                        <a:xfrm>
                          <a:off x="0" y="0"/>
                          <a:ext cx="6335395" cy="2622430"/>
                        </a:xfrm>
                        <a:prstGeom prst="rect">
                          <a:avLst/>
                        </a:prstGeom>
                        <a:solidFill>
                          <a:schemeClr val="lt1"/>
                        </a:solidFill>
                        <a:ln w="6350">
                          <a:noFill/>
                        </a:ln>
                      </wps:spPr>
                      <wps:txbx>
                        <w:txbxContent>
                          <w:p w14:paraId="69A741C6" w14:textId="45D233E1" w:rsidR="00CC02E9" w:rsidRPr="004A28B6" w:rsidRDefault="00CC02E9" w:rsidP="004A28B6">
                            <w:pPr>
                              <w:pStyle w:val="Titre"/>
                            </w:pPr>
                            <w:r>
                              <w:t>Étude de potentiel des énergies renouvelables et de récupération</w:t>
                            </w:r>
                          </w:p>
                          <w:p w14:paraId="40379547" w14:textId="77777777" w:rsidR="00CC02E9" w:rsidRPr="004A28B6" w:rsidRDefault="00CC02E9" w:rsidP="004A28B6">
                            <w:pPr>
                              <w:pStyle w:val="Titre"/>
                            </w:pPr>
                          </w:p>
                          <w:p w14:paraId="3737D854" w14:textId="2C1D21F2" w:rsidR="00CC02E9" w:rsidRPr="004A28B6" w:rsidRDefault="00CC02E9" w:rsidP="004A28B6">
                            <w:pPr>
                              <w:pStyle w:val="Titre"/>
                            </w:pPr>
                            <w: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6B2C1" id="_x0000_t202" coordsize="21600,21600" o:spt="202" path="m,l,21600r21600,l21600,xe">
                <v:stroke joinstyle="miter"/>
                <v:path gradientshapeok="t" o:connecttype="rect"/>
              </v:shapetype>
              <v:shape id="Zone de texte 3" o:spid="_x0000_s1026" type="#_x0000_t202" style="position:absolute;left:0;text-align:left;margin-left:5.05pt;margin-top:6.35pt;width:498.85pt;height: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" fillcolor="white [3201]" stroked="f" strokeweight=".5pt">
                <v:textbox>
                  <w:txbxContent>
                    <w:p w14:paraId="69A741C6" w14:textId="45D233E1" w:rsidR="00CC02E9" w:rsidRPr="004A28B6" w:rsidRDefault="00CC02E9" w:rsidP="004A28B6">
                      <w:pPr>
                        <w:pStyle w:val="Titre"/>
                      </w:pPr>
                      <w:r>
                        <w:t>Étude de potentiel des énergies renouvelables et de récupération</w:t>
                      </w:r>
                    </w:p>
                    <w:p w14:paraId="40379547" w14:textId="77777777" w:rsidR="00CC02E9" w:rsidRPr="004A28B6" w:rsidRDefault="00CC02E9" w:rsidP="004A28B6">
                      <w:pPr>
                        <w:pStyle w:val="Titre"/>
                      </w:pPr>
                    </w:p>
                    <w:p w14:paraId="3737D854" w14:textId="2C1D21F2" w:rsidR="00CC02E9" w:rsidRPr="004A28B6" w:rsidRDefault="00CC02E9" w:rsidP="004A28B6">
                      <w:pPr>
                        <w:pStyle w:val="Titre"/>
                      </w:pPr>
                      <w:r>
                        <w:t>2022</w:t>
                      </w:r>
                    </w:p>
                  </w:txbxContent>
                </v:textbox>
              </v:shape>
            </w:pict>
          </mc:Fallback>
        </mc:AlternateContent>
      </w:r>
    </w:p>
    <w:p w14:paraId="5CD76E4B" w14:textId="77777777" w:rsidR="00F72AB3" w:rsidRPr="00F72AB3" w:rsidRDefault="00F72AB3" w:rsidP="00F72AB3"/>
    <w:p w14:paraId="0AACAA1F" w14:textId="77777777" w:rsidR="00F72AB3" w:rsidRPr="00F72AB3" w:rsidRDefault="00F72AB3" w:rsidP="00F72AB3"/>
    <w:p w14:paraId="37DE10B3" w14:textId="77777777" w:rsidR="00F72AB3" w:rsidRPr="00F72AB3" w:rsidRDefault="00F72AB3" w:rsidP="00F72AB3"/>
    <w:p w14:paraId="19BA944D" w14:textId="77777777" w:rsidR="00F72AB3" w:rsidRPr="00F72AB3" w:rsidRDefault="00F72AB3" w:rsidP="00F72AB3"/>
    <w:p w14:paraId="6A468FC0" w14:textId="77777777" w:rsidR="00F72AB3" w:rsidRPr="00F72AB3" w:rsidRDefault="00F72AB3" w:rsidP="00F72AB3"/>
    <w:p w14:paraId="63174288" w14:textId="77777777" w:rsidR="00F72AB3" w:rsidRPr="00F72AB3" w:rsidRDefault="00F72AB3" w:rsidP="00F72AB3"/>
    <w:p w14:paraId="1E2F094F" w14:textId="77777777" w:rsidR="00F72AB3" w:rsidRPr="00F72AB3" w:rsidRDefault="00F72AB3" w:rsidP="00F72AB3"/>
    <w:p w14:paraId="3C1816FE" w14:textId="0D4BF438" w:rsidR="00F72AB3" w:rsidRPr="00F72AB3" w:rsidRDefault="00F72AB3" w:rsidP="00F72AB3"/>
    <w:p w14:paraId="6C709255" w14:textId="150CA724" w:rsidR="00F72AB3" w:rsidRPr="00F72AB3" w:rsidRDefault="00F72AB3" w:rsidP="00F72AB3"/>
    <w:p w14:paraId="7431330A" w14:textId="2C987AA8" w:rsidR="00F72AB3" w:rsidRPr="00F72AB3" w:rsidRDefault="00C26ED1" w:rsidP="00F72AB3">
      <w:r w:rsidRPr="00DA526C">
        <w:rPr>
          <w:noProof/>
        </w:rPr>
        <w:drawing>
          <wp:anchor distT="0" distB="0" distL="114300" distR="114300" simplePos="0" relativeHeight="251685888" behindDoc="0" locked="0" layoutInCell="1" allowOverlap="1" wp14:anchorId="5DD0D2F9" wp14:editId="1410990C">
            <wp:simplePos x="0" y="0"/>
            <wp:positionH relativeFrom="margin">
              <wp:posOffset>1904365</wp:posOffset>
            </wp:positionH>
            <wp:positionV relativeFrom="margin">
              <wp:posOffset>3264535</wp:posOffset>
            </wp:positionV>
            <wp:extent cx="2599055" cy="1801495"/>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599055" cy="1801495"/>
                    </a:xfrm>
                    <a:prstGeom prst="rect">
                      <a:avLst/>
                    </a:prstGeom>
                    <a:noFill/>
                    <a:ln>
                      <a:noFill/>
                    </a:ln>
                  </pic:spPr>
                </pic:pic>
              </a:graphicData>
            </a:graphic>
          </wp:anchor>
        </w:drawing>
      </w:r>
    </w:p>
    <w:p w14:paraId="2EAD476C" w14:textId="4506AFF1" w:rsidR="00F72AB3" w:rsidRPr="00F72AB3" w:rsidRDefault="00F72AB3" w:rsidP="00F72AB3"/>
    <w:p w14:paraId="4D926F4B" w14:textId="4BB55250" w:rsidR="00F72AB3" w:rsidRPr="00F72AB3" w:rsidRDefault="00F72AB3" w:rsidP="00F72AB3"/>
    <w:p w14:paraId="598796B3" w14:textId="4F8B2A8D" w:rsidR="00F72AB3" w:rsidRDefault="00F72AB3" w:rsidP="0020667D"/>
    <w:p w14:paraId="0EBC661C" w14:textId="3C8EA2FE" w:rsidR="00F72AB3" w:rsidRDefault="0020667D" w:rsidP="00F72AB3">
      <w:r>
        <w:rPr>
          <w:noProof/>
        </w:rPr>
        <mc:AlternateContent>
          <mc:Choice Requires="wps">
            <w:drawing>
              <wp:anchor distT="0" distB="0" distL="114300" distR="114300" simplePos="0" relativeHeight="251680768" behindDoc="0" locked="0" layoutInCell="1" allowOverlap="1" wp14:anchorId="6C832A8B" wp14:editId="6E6EF5C3">
                <wp:simplePos x="0" y="0"/>
                <wp:positionH relativeFrom="margin">
                  <wp:posOffset>1900555</wp:posOffset>
                </wp:positionH>
                <wp:positionV relativeFrom="paragraph">
                  <wp:posOffset>1839811</wp:posOffset>
                </wp:positionV>
                <wp:extent cx="2675890" cy="848995"/>
                <wp:effectExtent l="0" t="0" r="3810" b="1905"/>
                <wp:wrapNone/>
                <wp:docPr id="16" name="Zone de texte 16"/>
                <wp:cNvGraphicFramePr/>
                <a:graphic xmlns:a="http://schemas.openxmlformats.org/drawingml/2006/main">
                  <a:graphicData uri="http://schemas.microsoft.com/office/word/2010/wordprocessingShape">
                    <wps:wsp>
                      <wps:cNvSpPr txBox="1"/>
                      <wps:spPr>
                        <a:xfrm>
                          <a:off x="0" y="0"/>
                          <a:ext cx="2675890" cy="848995"/>
                        </a:xfrm>
                        <a:prstGeom prst="rect">
                          <a:avLst/>
                        </a:prstGeom>
                        <a:solidFill>
                          <a:schemeClr val="lt1"/>
                        </a:solidFill>
                        <a:ln w="6350">
                          <a:noFill/>
                        </a:ln>
                      </wps:spPr>
                      <wps:txbx>
                        <w:txbxContent>
                          <w:p w14:paraId="1259BFE2" w14:textId="1078D7F0" w:rsidR="00CC02E9" w:rsidRPr="0020667D" w:rsidRDefault="00CC02E9" w:rsidP="00C26ED1">
                            <w:pPr>
                              <w:spacing w:after="0"/>
                              <w:jc w:val="center"/>
                              <w:rPr>
                                <w:rFonts w:ascii="Futura Medium" w:hAnsi="Futura Medium" w:cs="Futura Medium"/>
                                <w:i/>
                                <w:color w:val="404040" w:themeColor="text1" w:themeTint="BF"/>
                                <w:sz w:val="36"/>
                              </w:rPr>
                            </w:pPr>
                            <w:r>
                              <w:rPr>
                                <w:rFonts w:ascii="Futura Medium" w:hAnsi="Futura Medium" w:cs="Futura Medium"/>
                                <w:i/>
                                <w:color w:val="404040" w:themeColor="text1" w:themeTint="BF"/>
                                <w:sz w:val="36"/>
                              </w:rPr>
                              <w:t xml:space="preserve">Novembre </w:t>
                            </w:r>
                            <w:r w:rsidRPr="0020667D">
                              <w:rPr>
                                <w:rFonts w:ascii="Futura Medium" w:hAnsi="Futura Medium" w:cs="Futura Medium"/>
                                <w:i/>
                                <w:color w:val="404040" w:themeColor="text1" w:themeTint="BF"/>
                                <w:sz w:val="3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32A8B" id="Zone de texte 16" o:spid="_x0000_s1027" type="#_x0000_t202" style="position:absolute;left:0;text-align:left;margin-left:149.65pt;margin-top:144.85pt;width:210.7pt;height:66.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" fillcolor="white [3201]" stroked="f" strokeweight=".5pt">
                <v:textbox>
                  <w:txbxContent>
                    <w:p w14:paraId="1259BFE2" w14:textId="1078D7F0" w:rsidR="00CC02E9" w:rsidRPr="0020667D" w:rsidRDefault="00CC02E9" w:rsidP="00C26ED1">
                      <w:pPr>
                        <w:spacing w:after="0"/>
                        <w:jc w:val="center"/>
                        <w:rPr>
                          <w:rFonts w:ascii="Futura Medium" w:hAnsi="Futura Medium" w:cs="Futura Medium"/>
                          <w:i/>
                          <w:color w:val="404040" w:themeColor="text1" w:themeTint="BF"/>
                          <w:sz w:val="36"/>
                        </w:rPr>
                      </w:pPr>
                      <w:r>
                        <w:rPr>
                          <w:rFonts w:ascii="Futura Medium" w:hAnsi="Futura Medium" w:cs="Futura Medium"/>
                          <w:i/>
                          <w:color w:val="404040" w:themeColor="text1" w:themeTint="BF"/>
                          <w:sz w:val="36"/>
                        </w:rPr>
                        <w:t xml:space="preserve">Novembre </w:t>
                      </w:r>
                      <w:r w:rsidRPr="0020667D">
                        <w:rPr>
                          <w:rFonts w:ascii="Futura Medium" w:hAnsi="Futura Medium" w:cs="Futura Medium"/>
                          <w:i/>
                          <w:color w:val="404040" w:themeColor="text1" w:themeTint="BF"/>
                          <w:sz w:val="36"/>
                        </w:rPr>
                        <w:t>2022</w:t>
                      </w:r>
                    </w:p>
                  </w:txbxContent>
                </v:textbox>
                <w10:wrap anchorx="margin"/>
              </v:shape>
            </w:pict>
          </mc:Fallback>
        </mc:AlternateContent>
      </w:r>
      <w:r>
        <w:rPr>
          <w:noProof/>
        </w:rPr>
        <mc:AlternateContent>
          <mc:Choice Requires="wps">
            <w:drawing>
              <wp:anchor distT="0" distB="0" distL="114300" distR="114300" simplePos="0" relativeHeight="251678720" behindDoc="0" locked="0" layoutInCell="1" allowOverlap="1" wp14:anchorId="435CF934" wp14:editId="00911218">
                <wp:simplePos x="0" y="0"/>
                <wp:positionH relativeFrom="column">
                  <wp:posOffset>274104</wp:posOffset>
                </wp:positionH>
                <wp:positionV relativeFrom="paragraph">
                  <wp:posOffset>3175850</wp:posOffset>
                </wp:positionV>
                <wp:extent cx="3795395" cy="1159510"/>
                <wp:effectExtent l="0" t="0" r="1905" b="0"/>
                <wp:wrapNone/>
                <wp:docPr id="9" name="Zone de texte 9"/>
                <wp:cNvGraphicFramePr/>
                <a:graphic xmlns:a="http://schemas.openxmlformats.org/drawingml/2006/main">
                  <a:graphicData uri="http://schemas.microsoft.com/office/word/2010/wordprocessingShape">
                    <wps:wsp>
                      <wps:cNvSpPr txBox="1"/>
                      <wps:spPr>
                        <a:xfrm>
                          <a:off x="0" y="0"/>
                          <a:ext cx="3795395" cy="1159510"/>
                        </a:xfrm>
                        <a:prstGeom prst="rect">
                          <a:avLst/>
                        </a:prstGeom>
                        <a:solidFill>
                          <a:schemeClr val="lt1"/>
                        </a:solidFill>
                        <a:ln w="6350">
                          <a:noFill/>
                        </a:ln>
                      </wps:spPr>
                      <wps:txbx>
                        <w:txbxContent>
                          <w:p w14:paraId="35109081" w14:textId="77777777" w:rsidR="00CC02E9" w:rsidRPr="00A332B6" w:rsidRDefault="00CC02E9" w:rsidP="00D65C2C">
                            <w:pPr>
                              <w:spacing w:after="0"/>
                              <w:rPr>
                                <w:rFonts w:asciiTheme="majorHAnsi" w:hAnsiTheme="majorHAnsi" w:cs="Futura Medium"/>
                                <w:color w:val="404040" w:themeColor="text1" w:themeTint="BF"/>
                                <w:sz w:val="32"/>
                              </w:rPr>
                            </w:pPr>
                            <w:r w:rsidRPr="00A332B6">
                              <w:rPr>
                                <w:rFonts w:asciiTheme="majorHAnsi" w:hAnsiTheme="majorHAnsi" w:cs="Futura Medium"/>
                                <w:color w:val="404040" w:themeColor="text1" w:themeTint="BF"/>
                                <w:sz w:val="32"/>
                              </w:rPr>
                              <w:t>Rédacteur</w:t>
                            </w:r>
                            <w:r w:rsidRPr="00A332B6">
                              <w:rPr>
                                <w:rFonts w:ascii="Calibri" w:hAnsi="Calibri" w:cs="Calibri"/>
                                <w:color w:val="404040" w:themeColor="text1" w:themeTint="BF"/>
                                <w:sz w:val="32"/>
                              </w:rPr>
                              <w:t> </w:t>
                            </w:r>
                            <w:r w:rsidRPr="00A332B6">
                              <w:rPr>
                                <w:rFonts w:asciiTheme="majorHAnsi" w:hAnsiTheme="majorHAnsi" w:cs="Futura Medium"/>
                                <w:color w:val="404040" w:themeColor="text1" w:themeTint="BF"/>
                                <w:sz w:val="32"/>
                              </w:rPr>
                              <w:t xml:space="preserve">: </w:t>
                            </w:r>
                          </w:p>
                          <w:p w14:paraId="4E2BAB41" w14:textId="5207D464" w:rsidR="00CC02E9" w:rsidRPr="00A332B6" w:rsidRDefault="00CC02E9" w:rsidP="00D65C2C">
                            <w:pPr>
                              <w:spacing w:after="0"/>
                              <w:rPr>
                                <w:rFonts w:asciiTheme="majorHAnsi" w:hAnsiTheme="majorHAnsi" w:cs="Futura Medium"/>
                                <w:color w:val="404040" w:themeColor="text1" w:themeTint="BF"/>
                                <w:sz w:val="32"/>
                              </w:rPr>
                            </w:pPr>
                            <w:r>
                              <w:rPr>
                                <w:rFonts w:asciiTheme="majorHAnsi" w:hAnsiTheme="majorHAnsi" w:cs="Futura Medium"/>
                                <w:color w:val="404040" w:themeColor="text1" w:themeTint="BF"/>
                                <w:sz w:val="32"/>
                              </w:rPr>
                              <w:t>Julie ROY</w:t>
                            </w:r>
                          </w:p>
                          <w:p w14:paraId="367DF8D5" w14:textId="73412269" w:rsidR="00CC02E9" w:rsidRPr="00A332B6" w:rsidRDefault="00CC02E9" w:rsidP="00D65C2C">
                            <w:pPr>
                              <w:spacing w:after="0"/>
                              <w:rPr>
                                <w:rFonts w:asciiTheme="majorHAnsi" w:hAnsiTheme="majorHAnsi" w:cs="Futura Medium"/>
                                <w:color w:val="404040" w:themeColor="text1" w:themeTint="BF"/>
                                <w:sz w:val="32"/>
                              </w:rPr>
                            </w:pPr>
                            <w:r w:rsidRPr="00F72AB3">
                              <w:rPr>
                                <w:rFonts w:ascii="Segoe UI Symbol" w:hAnsi="Segoe UI Symbol" w:cs="Segoe UI Symbol"/>
                                <w:color w:val="404040" w:themeColor="text1" w:themeTint="BF"/>
                                <w:sz w:val="32"/>
                              </w:rPr>
                              <w:t>🖃</w:t>
                            </w:r>
                            <w:r>
                              <w:rPr>
                                <w:rFonts w:asciiTheme="majorHAnsi" w:hAnsiTheme="majorHAnsi" w:cs="Futura Medium"/>
                                <w:color w:val="404040" w:themeColor="text1" w:themeTint="BF"/>
                                <w:sz w:val="32"/>
                              </w:rPr>
                              <w:t> : julie.roy@akajoule.com</w:t>
                            </w:r>
                          </w:p>
                          <w:p w14:paraId="6C792D7D" w14:textId="6870E657" w:rsidR="00CC02E9" w:rsidRPr="00A332B6" w:rsidRDefault="00CC02E9" w:rsidP="00D65C2C">
                            <w:pPr>
                              <w:spacing w:after="0"/>
                              <w:rPr>
                                <w:rFonts w:asciiTheme="majorHAnsi" w:hAnsiTheme="majorHAnsi" w:cs="Futura Medium"/>
                                <w:color w:val="404040" w:themeColor="text1" w:themeTint="BF"/>
                                <w:sz w:val="32"/>
                              </w:rPr>
                            </w:pPr>
                            <w:r w:rsidRPr="00F72AB3">
                              <w:rPr>
                                <w:rFonts w:ascii="Segoe UI Symbol" w:eastAsia="Montserrat" w:hAnsi="Segoe UI Symbol" w:cs="Segoe UI Symbol"/>
                                <w:color w:val="595959"/>
                                <w:sz w:val="28"/>
                              </w:rPr>
                              <w:t>🕿</w:t>
                            </w:r>
                            <w:r>
                              <w:rPr>
                                <w:rFonts w:asciiTheme="majorHAnsi" w:hAnsiTheme="majorHAnsi" w:cs="Futura Medium"/>
                                <w:color w:val="404040" w:themeColor="text1" w:themeTint="BF"/>
                                <w:sz w:val="32"/>
                              </w:rPr>
                              <w:t xml:space="preserve"> : </w:t>
                            </w:r>
                            <w:r w:rsidR="00B302E5">
                              <w:rPr>
                                <w:rFonts w:asciiTheme="majorHAnsi" w:hAnsiTheme="majorHAnsi" w:cs="Futura Medium"/>
                                <w:color w:val="404040" w:themeColor="text1" w:themeTint="BF"/>
                                <w:sz w:val="32"/>
                              </w:rPr>
                              <w:t>07 49 61 26 32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CF934" id="Zone de texte 9" o:spid="_x0000_s1028" type="#_x0000_t202" style="position:absolute;left:0;text-align:left;margin-left:21.6pt;margin-top:250.05pt;width:298.85pt;height:91.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" fillcolor="white [3201]" stroked="f" strokeweight=".5pt">
                <v:textbox>
                  <w:txbxContent>
                    <w:p w14:paraId="35109081" w14:textId="77777777" w:rsidR="00CC02E9" w:rsidRPr="00A332B6" w:rsidRDefault="00CC02E9" w:rsidP="00D65C2C">
                      <w:pPr>
                        <w:spacing w:after="0"/>
                        <w:rPr>
                          <w:rFonts w:asciiTheme="majorHAnsi" w:hAnsiTheme="majorHAnsi" w:cs="Futura Medium"/>
                          <w:color w:val="404040" w:themeColor="text1" w:themeTint="BF"/>
                          <w:sz w:val="32"/>
                        </w:rPr>
                      </w:pPr>
                      <w:r w:rsidRPr="00A332B6">
                        <w:rPr>
                          <w:rFonts w:asciiTheme="majorHAnsi" w:hAnsiTheme="majorHAnsi" w:cs="Futura Medium"/>
                          <w:color w:val="404040" w:themeColor="text1" w:themeTint="BF"/>
                          <w:sz w:val="32"/>
                        </w:rPr>
                        <w:t>Rédacteur</w:t>
                      </w:r>
                      <w:r w:rsidRPr="00A332B6">
                        <w:rPr>
                          <w:rFonts w:ascii="Calibri" w:hAnsi="Calibri" w:cs="Calibri"/>
                          <w:color w:val="404040" w:themeColor="text1" w:themeTint="BF"/>
                          <w:sz w:val="32"/>
                        </w:rPr>
                        <w:t> </w:t>
                      </w:r>
                      <w:r w:rsidRPr="00A332B6">
                        <w:rPr>
                          <w:rFonts w:asciiTheme="majorHAnsi" w:hAnsiTheme="majorHAnsi" w:cs="Futura Medium"/>
                          <w:color w:val="404040" w:themeColor="text1" w:themeTint="BF"/>
                          <w:sz w:val="32"/>
                        </w:rPr>
                        <w:t xml:space="preserve">: </w:t>
                      </w:r>
                    </w:p>
                    <w:p w14:paraId="4E2BAB41" w14:textId="5207D464" w:rsidR="00CC02E9" w:rsidRPr="00A332B6" w:rsidRDefault="00CC02E9" w:rsidP="00D65C2C">
                      <w:pPr>
                        <w:spacing w:after="0"/>
                        <w:rPr>
                          <w:rFonts w:asciiTheme="majorHAnsi" w:hAnsiTheme="majorHAnsi" w:cs="Futura Medium"/>
                          <w:color w:val="404040" w:themeColor="text1" w:themeTint="BF"/>
                          <w:sz w:val="32"/>
                        </w:rPr>
                      </w:pPr>
                      <w:r>
                        <w:rPr>
                          <w:rFonts w:asciiTheme="majorHAnsi" w:hAnsiTheme="majorHAnsi" w:cs="Futura Medium"/>
                          <w:color w:val="404040" w:themeColor="text1" w:themeTint="BF"/>
                          <w:sz w:val="32"/>
                        </w:rPr>
                        <w:t>Julie ROY</w:t>
                      </w:r>
                    </w:p>
                    <w:p w14:paraId="367DF8D5" w14:textId="73412269" w:rsidR="00CC02E9" w:rsidRPr="00A332B6" w:rsidRDefault="00CC02E9" w:rsidP="00D65C2C">
                      <w:pPr>
                        <w:spacing w:after="0"/>
                        <w:rPr>
                          <w:rFonts w:asciiTheme="majorHAnsi" w:hAnsiTheme="majorHAnsi" w:cs="Futura Medium"/>
                          <w:color w:val="404040" w:themeColor="text1" w:themeTint="BF"/>
                          <w:sz w:val="32"/>
                        </w:rPr>
                      </w:pPr>
                      <w:r w:rsidRPr="00F72AB3">
                        <w:rPr>
                          <w:rFonts w:ascii="Segoe UI Symbol" w:hAnsi="Segoe UI Symbol" w:cs="Segoe UI Symbol"/>
                          <w:color w:val="404040" w:themeColor="text1" w:themeTint="BF"/>
                          <w:sz w:val="32"/>
                        </w:rPr>
                        <w:t>🖃</w:t>
                      </w:r>
                      <w:r>
                        <w:rPr>
                          <w:rFonts w:asciiTheme="majorHAnsi" w:hAnsiTheme="majorHAnsi" w:cs="Futura Medium"/>
                          <w:color w:val="404040" w:themeColor="text1" w:themeTint="BF"/>
                          <w:sz w:val="32"/>
                        </w:rPr>
                        <w:t> : julie.roy@akajoule.com</w:t>
                      </w:r>
                    </w:p>
                    <w:p w14:paraId="6C792D7D" w14:textId="6870E657" w:rsidR="00CC02E9" w:rsidRPr="00A332B6" w:rsidRDefault="00CC02E9" w:rsidP="00D65C2C">
                      <w:pPr>
                        <w:spacing w:after="0"/>
                        <w:rPr>
                          <w:rFonts w:asciiTheme="majorHAnsi" w:hAnsiTheme="majorHAnsi" w:cs="Futura Medium"/>
                          <w:color w:val="404040" w:themeColor="text1" w:themeTint="BF"/>
                          <w:sz w:val="32"/>
                        </w:rPr>
                      </w:pPr>
                      <w:r w:rsidRPr="00F72AB3">
                        <w:rPr>
                          <w:rFonts w:ascii="Segoe UI Symbol" w:eastAsia="Montserrat" w:hAnsi="Segoe UI Symbol" w:cs="Segoe UI Symbol"/>
                          <w:color w:val="595959"/>
                          <w:sz w:val="28"/>
                        </w:rPr>
                        <w:t>🕿</w:t>
                      </w:r>
                      <w:r>
                        <w:rPr>
                          <w:rFonts w:asciiTheme="majorHAnsi" w:hAnsiTheme="majorHAnsi" w:cs="Futura Medium"/>
                          <w:color w:val="404040" w:themeColor="text1" w:themeTint="BF"/>
                          <w:sz w:val="32"/>
                        </w:rPr>
                        <w:t xml:space="preserve"> : </w:t>
                      </w:r>
                      <w:r w:rsidR="00B302E5">
                        <w:rPr>
                          <w:rFonts w:asciiTheme="majorHAnsi" w:hAnsiTheme="majorHAnsi" w:cs="Futura Medium"/>
                          <w:color w:val="404040" w:themeColor="text1" w:themeTint="BF"/>
                          <w:sz w:val="32"/>
                        </w:rPr>
                        <w:t>07 49 61 26 32</w:t>
                      </w:r>
                    </w:p>
                  </w:txbxContent>
                </v:textbox>
              </v:shape>
            </w:pict>
          </mc:Fallback>
        </mc:AlternateContent>
      </w:r>
      <w:r>
        <w:rPr>
          <w:noProof/>
        </w:rPr>
        <w:drawing>
          <wp:anchor distT="0" distB="0" distL="114300" distR="114300" simplePos="0" relativeHeight="251677696" behindDoc="0" locked="0" layoutInCell="1" allowOverlap="1" wp14:anchorId="71535131" wp14:editId="2C841FFA">
            <wp:simplePos x="0" y="0"/>
            <wp:positionH relativeFrom="margin">
              <wp:posOffset>4162006</wp:posOffset>
            </wp:positionH>
            <wp:positionV relativeFrom="margin">
              <wp:posOffset>7621270</wp:posOffset>
            </wp:positionV>
            <wp:extent cx="1664970" cy="747395"/>
            <wp:effectExtent l="0" t="0" r="0" b="1905"/>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4970" cy="747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6574C" w14:textId="31307F7E" w:rsidR="00ED0A0E" w:rsidRPr="00F72AB3" w:rsidRDefault="00ED0A0E" w:rsidP="00F72AB3">
      <w:pPr>
        <w:sectPr w:rsidR="00ED0A0E" w:rsidRPr="00F72AB3">
          <w:headerReference w:type="default" r:id="rId10"/>
          <w:footerReference w:type="default" r:id="rId11"/>
          <w:footerReference w:type="first" r:id="rId12"/>
          <w:type w:val="continuous"/>
          <w:pgSz w:w="11907" w:h="16839"/>
          <w:pgMar w:top="966" w:right="992" w:bottom="1134" w:left="709" w:header="11" w:footer="420" w:gutter="0"/>
          <w:pgNumType w:start="1"/>
          <w:cols w:space="720"/>
        </w:sectPr>
      </w:pPr>
    </w:p>
    <w:p w14:paraId="2771A4F0" w14:textId="21B2F665" w:rsidR="00C253AB" w:rsidRDefault="00C253AB" w:rsidP="00ED4622"/>
    <w:p w14:paraId="69A342C7" w14:textId="3745AE13" w:rsidR="00BE5459" w:rsidRDefault="00BE5459" w:rsidP="00ED4622"/>
    <w:p w14:paraId="0733EA52" w14:textId="77777777" w:rsidR="00BE5459" w:rsidRPr="00367937" w:rsidRDefault="00BE5459" w:rsidP="00ED4622"/>
    <w:p w14:paraId="2771C5AB" w14:textId="6DB0EFFA" w:rsidR="005B50AC" w:rsidRDefault="00ED4622" w:rsidP="00BE5459">
      <w:pPr>
        <w:pStyle w:val="Titre"/>
        <w:pBdr>
          <w:bottom w:val="single" w:sz="4" w:space="1" w:color="A83B22"/>
        </w:pBdr>
        <w:jc w:val="left"/>
      </w:pPr>
      <w:r w:rsidRPr="00367937">
        <w:t>Sommaire</w:t>
      </w:r>
    </w:p>
    <w:p w14:paraId="1BF27E90" w14:textId="77777777" w:rsidR="005B50AC" w:rsidRPr="005B50AC" w:rsidRDefault="005B50AC" w:rsidP="005B50AC"/>
    <w:sdt>
      <w:sdtPr>
        <w:rPr>
          <w:b/>
          <w:color w:val="AD4429"/>
          <w:sz w:val="32"/>
        </w:rPr>
        <w:id w:val="1846123376"/>
        <w:docPartObj>
          <w:docPartGallery w:val="Table of Contents"/>
          <w:docPartUnique/>
        </w:docPartObj>
      </w:sdtPr>
      <w:sdtEndPr>
        <w:rPr>
          <w:bCs/>
          <w:color w:val="auto"/>
          <w:sz w:val="22"/>
        </w:rPr>
      </w:sdtEndPr>
      <w:sdtContent>
        <w:p w14:paraId="06853161" w14:textId="7665B605" w:rsidR="00383522" w:rsidRPr="00383522" w:rsidRDefault="00383522" w:rsidP="00383522">
          <w:pPr>
            <w:rPr>
              <w:b/>
              <w:color w:val="AD4429"/>
              <w:sz w:val="32"/>
            </w:rPr>
          </w:pPr>
          <w:r w:rsidRPr="00383522">
            <w:rPr>
              <w:b/>
              <w:color w:val="AD4429"/>
              <w:sz w:val="32"/>
            </w:rPr>
            <w:t>Table des matières</w:t>
          </w:r>
        </w:p>
        <w:p w14:paraId="5F4AB5C7" w14:textId="288492D0" w:rsidR="00193B56" w:rsidRDefault="00383522">
          <w:pPr>
            <w:pStyle w:val="TM1"/>
            <w:tabs>
              <w:tab w:val="left" w:pos="332"/>
              <w:tab w:val="right" w:leader="dot" w:pos="10196"/>
            </w:tabs>
            <w:rPr>
              <w:rFonts w:cstheme="minorBidi"/>
              <w:b w:val="0"/>
              <w:bCs w:val="0"/>
              <w:caps w:val="0"/>
              <w:noProof/>
              <w:u w:val="none"/>
            </w:rPr>
          </w:pPr>
          <w:r>
            <w:rPr>
              <w:b w:val="0"/>
              <w:bCs w:val="0"/>
            </w:rPr>
            <w:fldChar w:fldCharType="begin"/>
          </w:r>
          <w:r>
            <w:instrText>TOC \o "1-3" \h \z \u</w:instrText>
          </w:r>
          <w:r>
            <w:rPr>
              <w:b w:val="0"/>
              <w:bCs w:val="0"/>
            </w:rPr>
            <w:fldChar w:fldCharType="separate"/>
          </w:r>
          <w:hyperlink w:anchor="_Toc129784702" w:history="1">
            <w:r w:rsidR="00193B56" w:rsidRPr="00B75649">
              <w:rPr>
                <w:rStyle w:val="Lienhypertexte"/>
                <w:noProof/>
              </w:rPr>
              <w:t>1</w:t>
            </w:r>
            <w:r w:rsidR="00193B56">
              <w:rPr>
                <w:rFonts w:cstheme="minorBidi"/>
                <w:b w:val="0"/>
                <w:bCs w:val="0"/>
                <w:caps w:val="0"/>
                <w:noProof/>
                <w:u w:val="none"/>
              </w:rPr>
              <w:tab/>
            </w:r>
            <w:r w:rsidR="00193B56" w:rsidRPr="00B75649">
              <w:rPr>
                <w:rStyle w:val="Lienhypertexte"/>
                <w:noProof/>
              </w:rPr>
              <w:t>Le contexte de l’étude</w:t>
            </w:r>
            <w:r w:rsidR="00193B56">
              <w:rPr>
                <w:noProof/>
                <w:webHidden/>
              </w:rPr>
              <w:tab/>
            </w:r>
            <w:r w:rsidR="00193B56">
              <w:rPr>
                <w:noProof/>
                <w:webHidden/>
              </w:rPr>
              <w:fldChar w:fldCharType="begin"/>
            </w:r>
            <w:r w:rsidR="00193B56">
              <w:rPr>
                <w:noProof/>
                <w:webHidden/>
              </w:rPr>
              <w:instrText xml:space="preserve"> PAGEREF _Toc129784702 \h </w:instrText>
            </w:r>
            <w:r w:rsidR="00193B56">
              <w:rPr>
                <w:noProof/>
                <w:webHidden/>
              </w:rPr>
            </w:r>
            <w:r w:rsidR="00193B56">
              <w:rPr>
                <w:noProof/>
                <w:webHidden/>
              </w:rPr>
              <w:fldChar w:fldCharType="separate"/>
            </w:r>
            <w:r w:rsidR="00193B56">
              <w:rPr>
                <w:noProof/>
                <w:webHidden/>
              </w:rPr>
              <w:t>5</w:t>
            </w:r>
            <w:r w:rsidR="00193B56">
              <w:rPr>
                <w:noProof/>
                <w:webHidden/>
              </w:rPr>
              <w:fldChar w:fldCharType="end"/>
            </w:r>
          </w:hyperlink>
        </w:p>
        <w:p w14:paraId="502C7C1E" w14:textId="16D03924" w:rsidR="00193B56" w:rsidRDefault="00193B56">
          <w:pPr>
            <w:pStyle w:val="TM2"/>
            <w:tabs>
              <w:tab w:val="left" w:pos="502"/>
              <w:tab w:val="right" w:leader="dot" w:pos="10196"/>
            </w:tabs>
            <w:rPr>
              <w:rFonts w:cstheme="minorBidi"/>
              <w:b w:val="0"/>
              <w:bCs w:val="0"/>
              <w:smallCaps w:val="0"/>
              <w:noProof/>
            </w:rPr>
          </w:pPr>
          <w:hyperlink w:anchor="_Toc129784703" w:history="1">
            <w:r w:rsidRPr="00B75649">
              <w:rPr>
                <w:rStyle w:val="Lienhypertexte"/>
                <w:noProof/>
              </w:rPr>
              <w:t>1.1</w:t>
            </w:r>
            <w:r>
              <w:rPr>
                <w:rFonts w:cstheme="minorBidi"/>
                <w:b w:val="0"/>
                <w:bCs w:val="0"/>
                <w:smallCaps w:val="0"/>
                <w:noProof/>
              </w:rPr>
              <w:tab/>
            </w:r>
            <w:r w:rsidRPr="00B75649">
              <w:rPr>
                <w:rStyle w:val="Lienhypertexte"/>
                <w:noProof/>
              </w:rPr>
              <w:t>Le territoire</w:t>
            </w:r>
            <w:r>
              <w:rPr>
                <w:noProof/>
                <w:webHidden/>
              </w:rPr>
              <w:tab/>
            </w:r>
            <w:r>
              <w:rPr>
                <w:noProof/>
                <w:webHidden/>
              </w:rPr>
              <w:fldChar w:fldCharType="begin"/>
            </w:r>
            <w:r>
              <w:rPr>
                <w:noProof/>
                <w:webHidden/>
              </w:rPr>
              <w:instrText xml:space="preserve"> PAGEREF _Toc129784703 \h </w:instrText>
            </w:r>
            <w:r>
              <w:rPr>
                <w:noProof/>
                <w:webHidden/>
              </w:rPr>
            </w:r>
            <w:r>
              <w:rPr>
                <w:noProof/>
                <w:webHidden/>
              </w:rPr>
              <w:fldChar w:fldCharType="separate"/>
            </w:r>
            <w:r>
              <w:rPr>
                <w:noProof/>
                <w:webHidden/>
              </w:rPr>
              <w:t>5</w:t>
            </w:r>
            <w:r>
              <w:rPr>
                <w:noProof/>
                <w:webHidden/>
              </w:rPr>
              <w:fldChar w:fldCharType="end"/>
            </w:r>
          </w:hyperlink>
        </w:p>
        <w:p w14:paraId="55A26928" w14:textId="1843F79D" w:rsidR="00193B56" w:rsidRDefault="00193B56">
          <w:pPr>
            <w:pStyle w:val="TM3"/>
            <w:tabs>
              <w:tab w:val="left" w:pos="666"/>
              <w:tab w:val="right" w:leader="dot" w:pos="10196"/>
            </w:tabs>
            <w:rPr>
              <w:rFonts w:cstheme="minorBidi"/>
              <w:smallCaps w:val="0"/>
              <w:noProof/>
            </w:rPr>
          </w:pPr>
          <w:hyperlink w:anchor="_Toc129784704" w:history="1">
            <w:r w:rsidRPr="00B75649">
              <w:rPr>
                <w:rStyle w:val="Lienhypertexte"/>
                <w:noProof/>
              </w:rPr>
              <w:t>1.1.1</w:t>
            </w:r>
            <w:r>
              <w:rPr>
                <w:rFonts w:cstheme="minorBidi"/>
                <w:smallCaps w:val="0"/>
                <w:noProof/>
              </w:rPr>
              <w:tab/>
            </w:r>
            <w:r w:rsidRPr="00B75649">
              <w:rPr>
                <w:rStyle w:val="Lienhypertexte"/>
                <w:noProof/>
              </w:rPr>
              <w:t>Contexte régional</w:t>
            </w:r>
            <w:r>
              <w:rPr>
                <w:noProof/>
                <w:webHidden/>
              </w:rPr>
              <w:tab/>
            </w:r>
            <w:r>
              <w:rPr>
                <w:noProof/>
                <w:webHidden/>
              </w:rPr>
              <w:fldChar w:fldCharType="begin"/>
            </w:r>
            <w:r>
              <w:rPr>
                <w:noProof/>
                <w:webHidden/>
              </w:rPr>
              <w:instrText xml:space="preserve"> PAGEREF _Toc129784704 \h </w:instrText>
            </w:r>
            <w:r>
              <w:rPr>
                <w:noProof/>
                <w:webHidden/>
              </w:rPr>
            </w:r>
            <w:r>
              <w:rPr>
                <w:noProof/>
                <w:webHidden/>
              </w:rPr>
              <w:fldChar w:fldCharType="separate"/>
            </w:r>
            <w:r>
              <w:rPr>
                <w:noProof/>
                <w:webHidden/>
              </w:rPr>
              <w:t>5</w:t>
            </w:r>
            <w:r>
              <w:rPr>
                <w:noProof/>
                <w:webHidden/>
              </w:rPr>
              <w:fldChar w:fldCharType="end"/>
            </w:r>
          </w:hyperlink>
        </w:p>
        <w:p w14:paraId="52A910B3" w14:textId="675FA396" w:rsidR="00193B56" w:rsidRDefault="00193B56">
          <w:pPr>
            <w:pStyle w:val="TM3"/>
            <w:tabs>
              <w:tab w:val="left" w:pos="666"/>
              <w:tab w:val="right" w:leader="dot" w:pos="10196"/>
            </w:tabs>
            <w:rPr>
              <w:rFonts w:cstheme="minorBidi"/>
              <w:smallCaps w:val="0"/>
              <w:noProof/>
            </w:rPr>
          </w:pPr>
          <w:hyperlink w:anchor="_Toc129784705" w:history="1">
            <w:r w:rsidRPr="00B75649">
              <w:rPr>
                <w:rStyle w:val="Lienhypertexte"/>
                <w:noProof/>
              </w:rPr>
              <w:t>1.1.2</w:t>
            </w:r>
            <w:r>
              <w:rPr>
                <w:rFonts w:cstheme="minorBidi"/>
                <w:smallCaps w:val="0"/>
                <w:noProof/>
              </w:rPr>
              <w:tab/>
            </w:r>
            <w:r w:rsidRPr="00B75649">
              <w:rPr>
                <w:rStyle w:val="Lienhypertexte"/>
                <w:noProof/>
              </w:rPr>
              <w:t>Contexte de l’intercommunalité</w:t>
            </w:r>
            <w:r>
              <w:rPr>
                <w:noProof/>
                <w:webHidden/>
              </w:rPr>
              <w:tab/>
            </w:r>
            <w:r>
              <w:rPr>
                <w:noProof/>
                <w:webHidden/>
              </w:rPr>
              <w:fldChar w:fldCharType="begin"/>
            </w:r>
            <w:r>
              <w:rPr>
                <w:noProof/>
                <w:webHidden/>
              </w:rPr>
              <w:instrText xml:space="preserve"> PAGEREF _Toc129784705 \h </w:instrText>
            </w:r>
            <w:r>
              <w:rPr>
                <w:noProof/>
                <w:webHidden/>
              </w:rPr>
            </w:r>
            <w:r>
              <w:rPr>
                <w:noProof/>
                <w:webHidden/>
              </w:rPr>
              <w:fldChar w:fldCharType="separate"/>
            </w:r>
            <w:r>
              <w:rPr>
                <w:noProof/>
                <w:webHidden/>
              </w:rPr>
              <w:t>5</w:t>
            </w:r>
            <w:r>
              <w:rPr>
                <w:noProof/>
                <w:webHidden/>
              </w:rPr>
              <w:fldChar w:fldCharType="end"/>
            </w:r>
          </w:hyperlink>
        </w:p>
        <w:p w14:paraId="3AF295D1" w14:textId="6F1D4635" w:rsidR="00193B56" w:rsidRDefault="00193B56">
          <w:pPr>
            <w:pStyle w:val="TM2"/>
            <w:tabs>
              <w:tab w:val="left" w:pos="502"/>
              <w:tab w:val="right" w:leader="dot" w:pos="10196"/>
            </w:tabs>
            <w:rPr>
              <w:rFonts w:cstheme="minorBidi"/>
              <w:b w:val="0"/>
              <w:bCs w:val="0"/>
              <w:smallCaps w:val="0"/>
              <w:noProof/>
            </w:rPr>
          </w:pPr>
          <w:hyperlink w:anchor="_Toc129784706" w:history="1">
            <w:r w:rsidRPr="00B75649">
              <w:rPr>
                <w:rStyle w:val="Lienhypertexte"/>
                <w:noProof/>
              </w:rPr>
              <w:t>1.2</w:t>
            </w:r>
            <w:r>
              <w:rPr>
                <w:rFonts w:cstheme="minorBidi"/>
                <w:b w:val="0"/>
                <w:bCs w:val="0"/>
                <w:smallCaps w:val="0"/>
                <w:noProof/>
              </w:rPr>
              <w:tab/>
            </w:r>
            <w:r w:rsidRPr="00B75649">
              <w:rPr>
                <w:rStyle w:val="Lienhypertexte"/>
                <w:noProof/>
              </w:rPr>
              <w:t>Contenu et périmètre de l’étude</w:t>
            </w:r>
            <w:r>
              <w:rPr>
                <w:noProof/>
                <w:webHidden/>
              </w:rPr>
              <w:tab/>
            </w:r>
            <w:r>
              <w:rPr>
                <w:noProof/>
                <w:webHidden/>
              </w:rPr>
              <w:fldChar w:fldCharType="begin"/>
            </w:r>
            <w:r>
              <w:rPr>
                <w:noProof/>
                <w:webHidden/>
              </w:rPr>
              <w:instrText xml:space="preserve"> PAGEREF _Toc129784706 \h </w:instrText>
            </w:r>
            <w:r>
              <w:rPr>
                <w:noProof/>
                <w:webHidden/>
              </w:rPr>
            </w:r>
            <w:r>
              <w:rPr>
                <w:noProof/>
                <w:webHidden/>
              </w:rPr>
              <w:fldChar w:fldCharType="separate"/>
            </w:r>
            <w:r>
              <w:rPr>
                <w:noProof/>
                <w:webHidden/>
              </w:rPr>
              <w:t>6</w:t>
            </w:r>
            <w:r>
              <w:rPr>
                <w:noProof/>
                <w:webHidden/>
              </w:rPr>
              <w:fldChar w:fldCharType="end"/>
            </w:r>
          </w:hyperlink>
        </w:p>
        <w:p w14:paraId="076A5742" w14:textId="23EC9865" w:rsidR="00193B56" w:rsidRDefault="00193B56">
          <w:pPr>
            <w:pStyle w:val="TM3"/>
            <w:tabs>
              <w:tab w:val="left" w:pos="666"/>
              <w:tab w:val="right" w:leader="dot" w:pos="10196"/>
            </w:tabs>
            <w:rPr>
              <w:rFonts w:cstheme="minorBidi"/>
              <w:smallCaps w:val="0"/>
              <w:noProof/>
            </w:rPr>
          </w:pPr>
          <w:hyperlink w:anchor="_Toc129784707" w:history="1">
            <w:r w:rsidRPr="00B75649">
              <w:rPr>
                <w:rStyle w:val="Lienhypertexte"/>
                <w:noProof/>
              </w:rPr>
              <w:t>1.2.1</w:t>
            </w:r>
            <w:r>
              <w:rPr>
                <w:rFonts w:cstheme="minorBidi"/>
                <w:smallCaps w:val="0"/>
                <w:noProof/>
              </w:rPr>
              <w:tab/>
            </w:r>
            <w:r w:rsidRPr="00B75649">
              <w:rPr>
                <w:rStyle w:val="Lienhypertexte"/>
                <w:noProof/>
              </w:rPr>
              <w:t>Les Energies Renouvelables et de Récupération sur le territoire (EnR&amp;R) : état des lieux, potentiel et stratégie opérationnelle</w:t>
            </w:r>
            <w:r>
              <w:rPr>
                <w:noProof/>
                <w:webHidden/>
              </w:rPr>
              <w:tab/>
            </w:r>
            <w:r>
              <w:rPr>
                <w:noProof/>
                <w:webHidden/>
              </w:rPr>
              <w:fldChar w:fldCharType="begin"/>
            </w:r>
            <w:r>
              <w:rPr>
                <w:noProof/>
                <w:webHidden/>
              </w:rPr>
              <w:instrText xml:space="preserve"> PAGEREF _Toc129784707 \h </w:instrText>
            </w:r>
            <w:r>
              <w:rPr>
                <w:noProof/>
                <w:webHidden/>
              </w:rPr>
            </w:r>
            <w:r>
              <w:rPr>
                <w:noProof/>
                <w:webHidden/>
              </w:rPr>
              <w:fldChar w:fldCharType="separate"/>
            </w:r>
            <w:r>
              <w:rPr>
                <w:noProof/>
                <w:webHidden/>
              </w:rPr>
              <w:t>6</w:t>
            </w:r>
            <w:r>
              <w:rPr>
                <w:noProof/>
                <w:webHidden/>
              </w:rPr>
              <w:fldChar w:fldCharType="end"/>
            </w:r>
          </w:hyperlink>
        </w:p>
        <w:p w14:paraId="15A23AC6" w14:textId="2AE8FE3C" w:rsidR="00193B56" w:rsidRDefault="00193B56">
          <w:pPr>
            <w:pStyle w:val="TM3"/>
            <w:tabs>
              <w:tab w:val="left" w:pos="666"/>
              <w:tab w:val="right" w:leader="dot" w:pos="10196"/>
            </w:tabs>
            <w:rPr>
              <w:rFonts w:cstheme="minorBidi"/>
              <w:smallCaps w:val="0"/>
              <w:noProof/>
            </w:rPr>
          </w:pPr>
          <w:hyperlink w:anchor="_Toc129784708" w:history="1">
            <w:r w:rsidRPr="00B75649">
              <w:rPr>
                <w:rStyle w:val="Lienhypertexte"/>
                <w:noProof/>
              </w:rPr>
              <w:t>1.2.2</w:t>
            </w:r>
            <w:r>
              <w:rPr>
                <w:rFonts w:cstheme="minorBidi"/>
                <w:smallCaps w:val="0"/>
                <w:noProof/>
              </w:rPr>
              <w:tab/>
            </w:r>
            <w:r w:rsidRPr="00B75649">
              <w:rPr>
                <w:rStyle w:val="Lienhypertexte"/>
                <w:noProof/>
              </w:rPr>
              <w:t>Les filières étudiées</w:t>
            </w:r>
            <w:r>
              <w:rPr>
                <w:noProof/>
                <w:webHidden/>
              </w:rPr>
              <w:tab/>
            </w:r>
            <w:r>
              <w:rPr>
                <w:noProof/>
                <w:webHidden/>
              </w:rPr>
              <w:fldChar w:fldCharType="begin"/>
            </w:r>
            <w:r>
              <w:rPr>
                <w:noProof/>
                <w:webHidden/>
              </w:rPr>
              <w:instrText xml:space="preserve"> PAGEREF _Toc129784708 \h </w:instrText>
            </w:r>
            <w:r>
              <w:rPr>
                <w:noProof/>
                <w:webHidden/>
              </w:rPr>
            </w:r>
            <w:r>
              <w:rPr>
                <w:noProof/>
                <w:webHidden/>
              </w:rPr>
              <w:fldChar w:fldCharType="separate"/>
            </w:r>
            <w:r>
              <w:rPr>
                <w:noProof/>
                <w:webHidden/>
              </w:rPr>
              <w:t>7</w:t>
            </w:r>
            <w:r>
              <w:rPr>
                <w:noProof/>
                <w:webHidden/>
              </w:rPr>
              <w:fldChar w:fldCharType="end"/>
            </w:r>
          </w:hyperlink>
        </w:p>
        <w:p w14:paraId="0BB56F76" w14:textId="6B9820C4" w:rsidR="00193B56" w:rsidRDefault="00193B56">
          <w:pPr>
            <w:pStyle w:val="TM3"/>
            <w:tabs>
              <w:tab w:val="left" w:pos="666"/>
              <w:tab w:val="right" w:leader="dot" w:pos="10196"/>
            </w:tabs>
            <w:rPr>
              <w:rFonts w:cstheme="minorBidi"/>
              <w:smallCaps w:val="0"/>
              <w:noProof/>
            </w:rPr>
          </w:pPr>
          <w:hyperlink w:anchor="_Toc129784709" w:history="1">
            <w:r w:rsidRPr="00B75649">
              <w:rPr>
                <w:rStyle w:val="Lienhypertexte"/>
                <w:noProof/>
              </w:rPr>
              <w:t>1.2.3</w:t>
            </w:r>
            <w:r>
              <w:rPr>
                <w:rFonts w:cstheme="minorBidi"/>
                <w:smallCaps w:val="0"/>
                <w:noProof/>
              </w:rPr>
              <w:tab/>
            </w:r>
            <w:r w:rsidRPr="00B75649">
              <w:rPr>
                <w:rStyle w:val="Lienhypertexte"/>
                <w:noProof/>
              </w:rPr>
              <w:t>Territoire d’étude</w:t>
            </w:r>
            <w:r>
              <w:rPr>
                <w:noProof/>
                <w:webHidden/>
              </w:rPr>
              <w:tab/>
            </w:r>
            <w:r>
              <w:rPr>
                <w:noProof/>
                <w:webHidden/>
              </w:rPr>
              <w:fldChar w:fldCharType="begin"/>
            </w:r>
            <w:r>
              <w:rPr>
                <w:noProof/>
                <w:webHidden/>
              </w:rPr>
              <w:instrText xml:space="preserve"> PAGEREF _Toc129784709 \h </w:instrText>
            </w:r>
            <w:r>
              <w:rPr>
                <w:noProof/>
                <w:webHidden/>
              </w:rPr>
            </w:r>
            <w:r>
              <w:rPr>
                <w:noProof/>
                <w:webHidden/>
              </w:rPr>
              <w:fldChar w:fldCharType="separate"/>
            </w:r>
            <w:r>
              <w:rPr>
                <w:noProof/>
                <w:webHidden/>
              </w:rPr>
              <w:t>7</w:t>
            </w:r>
            <w:r>
              <w:rPr>
                <w:noProof/>
                <w:webHidden/>
              </w:rPr>
              <w:fldChar w:fldCharType="end"/>
            </w:r>
          </w:hyperlink>
        </w:p>
        <w:p w14:paraId="4A81B7D1" w14:textId="5D3207F3" w:rsidR="00193B56" w:rsidRDefault="00193B56">
          <w:pPr>
            <w:pStyle w:val="TM1"/>
            <w:tabs>
              <w:tab w:val="left" w:pos="332"/>
              <w:tab w:val="right" w:leader="dot" w:pos="10196"/>
            </w:tabs>
            <w:rPr>
              <w:rFonts w:cstheme="minorBidi"/>
              <w:b w:val="0"/>
              <w:bCs w:val="0"/>
              <w:caps w:val="0"/>
              <w:noProof/>
              <w:u w:val="none"/>
            </w:rPr>
          </w:pPr>
          <w:hyperlink w:anchor="_Toc129784710" w:history="1">
            <w:r w:rsidRPr="00B75649">
              <w:rPr>
                <w:rStyle w:val="Lienhypertexte"/>
                <w:noProof/>
              </w:rPr>
              <w:t>2</w:t>
            </w:r>
            <w:r>
              <w:rPr>
                <w:rFonts w:cstheme="minorBidi"/>
                <w:b w:val="0"/>
                <w:bCs w:val="0"/>
                <w:caps w:val="0"/>
                <w:noProof/>
                <w:u w:val="none"/>
              </w:rPr>
              <w:tab/>
            </w:r>
            <w:r w:rsidRPr="00B75649">
              <w:rPr>
                <w:rStyle w:val="Lienhypertexte"/>
                <w:noProof/>
              </w:rPr>
              <w:t>Note méthodologique</w:t>
            </w:r>
            <w:r>
              <w:rPr>
                <w:noProof/>
                <w:webHidden/>
              </w:rPr>
              <w:tab/>
            </w:r>
            <w:r>
              <w:rPr>
                <w:noProof/>
                <w:webHidden/>
              </w:rPr>
              <w:fldChar w:fldCharType="begin"/>
            </w:r>
            <w:r>
              <w:rPr>
                <w:noProof/>
                <w:webHidden/>
              </w:rPr>
              <w:instrText xml:space="preserve"> PAGEREF _Toc129784710 \h </w:instrText>
            </w:r>
            <w:r>
              <w:rPr>
                <w:noProof/>
                <w:webHidden/>
              </w:rPr>
            </w:r>
            <w:r>
              <w:rPr>
                <w:noProof/>
                <w:webHidden/>
              </w:rPr>
              <w:fldChar w:fldCharType="separate"/>
            </w:r>
            <w:r>
              <w:rPr>
                <w:noProof/>
                <w:webHidden/>
              </w:rPr>
              <w:t>8</w:t>
            </w:r>
            <w:r>
              <w:rPr>
                <w:noProof/>
                <w:webHidden/>
              </w:rPr>
              <w:fldChar w:fldCharType="end"/>
            </w:r>
          </w:hyperlink>
        </w:p>
        <w:p w14:paraId="6D759E5F" w14:textId="46980938" w:rsidR="00193B56" w:rsidRDefault="00193B56">
          <w:pPr>
            <w:pStyle w:val="TM1"/>
            <w:tabs>
              <w:tab w:val="left" w:pos="332"/>
              <w:tab w:val="right" w:leader="dot" w:pos="10196"/>
            </w:tabs>
            <w:rPr>
              <w:rFonts w:cstheme="minorBidi"/>
              <w:b w:val="0"/>
              <w:bCs w:val="0"/>
              <w:caps w:val="0"/>
              <w:noProof/>
              <w:u w:val="none"/>
            </w:rPr>
          </w:pPr>
          <w:hyperlink w:anchor="_Toc129784711" w:history="1">
            <w:r w:rsidRPr="00B75649">
              <w:rPr>
                <w:rStyle w:val="Lienhypertexte"/>
                <w:noProof/>
              </w:rPr>
              <w:t>3</w:t>
            </w:r>
            <w:r>
              <w:rPr>
                <w:rFonts w:cstheme="minorBidi"/>
                <w:b w:val="0"/>
                <w:bCs w:val="0"/>
                <w:caps w:val="0"/>
                <w:noProof/>
                <w:u w:val="none"/>
              </w:rPr>
              <w:tab/>
            </w:r>
            <w:r w:rsidRPr="00B75649">
              <w:rPr>
                <w:rStyle w:val="Lienhypertexte"/>
                <w:noProof/>
              </w:rPr>
              <w:t>Etat des lieux des consommations</w:t>
            </w:r>
            <w:r>
              <w:rPr>
                <w:noProof/>
                <w:webHidden/>
              </w:rPr>
              <w:tab/>
            </w:r>
            <w:r>
              <w:rPr>
                <w:noProof/>
                <w:webHidden/>
              </w:rPr>
              <w:fldChar w:fldCharType="begin"/>
            </w:r>
            <w:r>
              <w:rPr>
                <w:noProof/>
                <w:webHidden/>
              </w:rPr>
              <w:instrText xml:space="preserve"> PAGEREF _Toc129784711 \h </w:instrText>
            </w:r>
            <w:r>
              <w:rPr>
                <w:noProof/>
                <w:webHidden/>
              </w:rPr>
            </w:r>
            <w:r>
              <w:rPr>
                <w:noProof/>
                <w:webHidden/>
              </w:rPr>
              <w:fldChar w:fldCharType="separate"/>
            </w:r>
            <w:r>
              <w:rPr>
                <w:noProof/>
                <w:webHidden/>
              </w:rPr>
              <w:t>9</w:t>
            </w:r>
            <w:r>
              <w:rPr>
                <w:noProof/>
                <w:webHidden/>
              </w:rPr>
              <w:fldChar w:fldCharType="end"/>
            </w:r>
          </w:hyperlink>
        </w:p>
        <w:p w14:paraId="54498D5C" w14:textId="7C0429A3" w:rsidR="00193B56" w:rsidRDefault="00193B56">
          <w:pPr>
            <w:pStyle w:val="TM2"/>
            <w:tabs>
              <w:tab w:val="left" w:pos="502"/>
              <w:tab w:val="right" w:leader="dot" w:pos="10196"/>
            </w:tabs>
            <w:rPr>
              <w:rFonts w:cstheme="minorBidi"/>
              <w:b w:val="0"/>
              <w:bCs w:val="0"/>
              <w:smallCaps w:val="0"/>
              <w:noProof/>
            </w:rPr>
          </w:pPr>
          <w:hyperlink w:anchor="_Toc129784712" w:history="1">
            <w:r w:rsidRPr="00B75649">
              <w:rPr>
                <w:rStyle w:val="Lienhypertexte"/>
                <w:noProof/>
              </w:rPr>
              <w:t>3.1</w:t>
            </w:r>
            <w:r>
              <w:rPr>
                <w:rFonts w:cstheme="minorBidi"/>
                <w:b w:val="0"/>
                <w:bCs w:val="0"/>
                <w:smallCaps w:val="0"/>
                <w:noProof/>
              </w:rPr>
              <w:tab/>
            </w:r>
            <w:r w:rsidRPr="00B75649">
              <w:rPr>
                <w:rStyle w:val="Lienhypertexte"/>
                <w:noProof/>
              </w:rPr>
              <w:t>Méthodologie</w:t>
            </w:r>
            <w:r>
              <w:rPr>
                <w:noProof/>
                <w:webHidden/>
              </w:rPr>
              <w:tab/>
            </w:r>
            <w:r>
              <w:rPr>
                <w:noProof/>
                <w:webHidden/>
              </w:rPr>
              <w:fldChar w:fldCharType="begin"/>
            </w:r>
            <w:r>
              <w:rPr>
                <w:noProof/>
                <w:webHidden/>
              </w:rPr>
              <w:instrText xml:space="preserve"> PAGEREF _Toc129784712 \h </w:instrText>
            </w:r>
            <w:r>
              <w:rPr>
                <w:noProof/>
                <w:webHidden/>
              </w:rPr>
            </w:r>
            <w:r>
              <w:rPr>
                <w:noProof/>
                <w:webHidden/>
              </w:rPr>
              <w:fldChar w:fldCharType="separate"/>
            </w:r>
            <w:r>
              <w:rPr>
                <w:noProof/>
                <w:webHidden/>
              </w:rPr>
              <w:t>9</w:t>
            </w:r>
            <w:r>
              <w:rPr>
                <w:noProof/>
                <w:webHidden/>
              </w:rPr>
              <w:fldChar w:fldCharType="end"/>
            </w:r>
          </w:hyperlink>
        </w:p>
        <w:p w14:paraId="24C0DD29" w14:textId="3A25CE01" w:rsidR="00193B56" w:rsidRDefault="00193B56">
          <w:pPr>
            <w:pStyle w:val="TM2"/>
            <w:tabs>
              <w:tab w:val="left" w:pos="502"/>
              <w:tab w:val="right" w:leader="dot" w:pos="10196"/>
            </w:tabs>
            <w:rPr>
              <w:rFonts w:cstheme="minorBidi"/>
              <w:b w:val="0"/>
              <w:bCs w:val="0"/>
              <w:smallCaps w:val="0"/>
              <w:noProof/>
            </w:rPr>
          </w:pPr>
          <w:hyperlink w:anchor="_Toc129784713" w:history="1">
            <w:r w:rsidRPr="00B75649">
              <w:rPr>
                <w:rStyle w:val="Lienhypertexte"/>
                <w:noProof/>
              </w:rPr>
              <w:t>3.2</w:t>
            </w:r>
            <w:r>
              <w:rPr>
                <w:rFonts w:cstheme="minorBidi"/>
                <w:b w:val="0"/>
                <w:bCs w:val="0"/>
                <w:smallCaps w:val="0"/>
                <w:noProof/>
              </w:rPr>
              <w:tab/>
            </w:r>
            <w:r w:rsidRPr="00B75649">
              <w:rPr>
                <w:rStyle w:val="Lienhypertexte"/>
                <w:noProof/>
              </w:rPr>
              <w:t>Consommation d’énergie sur le territoire</w:t>
            </w:r>
            <w:r>
              <w:rPr>
                <w:noProof/>
                <w:webHidden/>
              </w:rPr>
              <w:tab/>
            </w:r>
            <w:r>
              <w:rPr>
                <w:noProof/>
                <w:webHidden/>
              </w:rPr>
              <w:fldChar w:fldCharType="begin"/>
            </w:r>
            <w:r>
              <w:rPr>
                <w:noProof/>
                <w:webHidden/>
              </w:rPr>
              <w:instrText xml:space="preserve"> PAGEREF _Toc129784713 \h </w:instrText>
            </w:r>
            <w:r>
              <w:rPr>
                <w:noProof/>
                <w:webHidden/>
              </w:rPr>
            </w:r>
            <w:r>
              <w:rPr>
                <w:noProof/>
                <w:webHidden/>
              </w:rPr>
              <w:fldChar w:fldCharType="separate"/>
            </w:r>
            <w:r>
              <w:rPr>
                <w:noProof/>
                <w:webHidden/>
              </w:rPr>
              <w:t>9</w:t>
            </w:r>
            <w:r>
              <w:rPr>
                <w:noProof/>
                <w:webHidden/>
              </w:rPr>
              <w:fldChar w:fldCharType="end"/>
            </w:r>
          </w:hyperlink>
        </w:p>
        <w:p w14:paraId="15F14676" w14:textId="29B267EA" w:rsidR="00193B56" w:rsidRDefault="00193B56">
          <w:pPr>
            <w:pStyle w:val="TM3"/>
            <w:tabs>
              <w:tab w:val="left" w:pos="666"/>
              <w:tab w:val="right" w:leader="dot" w:pos="10196"/>
            </w:tabs>
            <w:rPr>
              <w:rFonts w:cstheme="minorBidi"/>
              <w:smallCaps w:val="0"/>
              <w:noProof/>
            </w:rPr>
          </w:pPr>
          <w:hyperlink w:anchor="_Toc129784714" w:history="1">
            <w:r w:rsidRPr="00B75649">
              <w:rPr>
                <w:rStyle w:val="Lienhypertexte"/>
                <w:noProof/>
              </w:rPr>
              <w:t>3.2.1</w:t>
            </w:r>
            <w:r>
              <w:rPr>
                <w:rFonts w:cstheme="minorBidi"/>
                <w:smallCaps w:val="0"/>
                <w:noProof/>
              </w:rPr>
              <w:tab/>
            </w:r>
            <w:r w:rsidRPr="00B75649">
              <w:rPr>
                <w:rStyle w:val="Lienhypertexte"/>
                <w:noProof/>
              </w:rPr>
              <w:t>Vision globale</w:t>
            </w:r>
            <w:r>
              <w:rPr>
                <w:noProof/>
                <w:webHidden/>
              </w:rPr>
              <w:tab/>
            </w:r>
            <w:r>
              <w:rPr>
                <w:noProof/>
                <w:webHidden/>
              </w:rPr>
              <w:fldChar w:fldCharType="begin"/>
            </w:r>
            <w:r>
              <w:rPr>
                <w:noProof/>
                <w:webHidden/>
              </w:rPr>
              <w:instrText xml:space="preserve"> PAGEREF _Toc129784714 \h </w:instrText>
            </w:r>
            <w:r>
              <w:rPr>
                <w:noProof/>
                <w:webHidden/>
              </w:rPr>
            </w:r>
            <w:r>
              <w:rPr>
                <w:noProof/>
                <w:webHidden/>
              </w:rPr>
              <w:fldChar w:fldCharType="separate"/>
            </w:r>
            <w:r>
              <w:rPr>
                <w:noProof/>
                <w:webHidden/>
              </w:rPr>
              <w:t>9</w:t>
            </w:r>
            <w:r>
              <w:rPr>
                <w:noProof/>
                <w:webHidden/>
              </w:rPr>
              <w:fldChar w:fldCharType="end"/>
            </w:r>
          </w:hyperlink>
        </w:p>
        <w:p w14:paraId="6428EB2A" w14:textId="3FE50549" w:rsidR="00193B56" w:rsidRDefault="00193B56">
          <w:pPr>
            <w:pStyle w:val="TM3"/>
            <w:tabs>
              <w:tab w:val="left" w:pos="666"/>
              <w:tab w:val="right" w:leader="dot" w:pos="10196"/>
            </w:tabs>
            <w:rPr>
              <w:rFonts w:cstheme="minorBidi"/>
              <w:smallCaps w:val="0"/>
              <w:noProof/>
            </w:rPr>
          </w:pPr>
          <w:hyperlink w:anchor="_Toc129784715" w:history="1">
            <w:r w:rsidRPr="00B75649">
              <w:rPr>
                <w:rStyle w:val="Lienhypertexte"/>
                <w:noProof/>
              </w:rPr>
              <w:t>3.2.2</w:t>
            </w:r>
            <w:r>
              <w:rPr>
                <w:rFonts w:cstheme="minorBidi"/>
                <w:smallCaps w:val="0"/>
                <w:noProof/>
              </w:rPr>
              <w:tab/>
            </w:r>
            <w:r w:rsidRPr="00B75649">
              <w:rPr>
                <w:rStyle w:val="Lienhypertexte"/>
                <w:noProof/>
              </w:rPr>
              <w:t>Répartition par énergie</w:t>
            </w:r>
            <w:r>
              <w:rPr>
                <w:noProof/>
                <w:webHidden/>
              </w:rPr>
              <w:tab/>
            </w:r>
            <w:r>
              <w:rPr>
                <w:noProof/>
                <w:webHidden/>
              </w:rPr>
              <w:fldChar w:fldCharType="begin"/>
            </w:r>
            <w:r>
              <w:rPr>
                <w:noProof/>
                <w:webHidden/>
              </w:rPr>
              <w:instrText xml:space="preserve"> PAGEREF _Toc129784715 \h </w:instrText>
            </w:r>
            <w:r>
              <w:rPr>
                <w:noProof/>
                <w:webHidden/>
              </w:rPr>
            </w:r>
            <w:r>
              <w:rPr>
                <w:noProof/>
                <w:webHidden/>
              </w:rPr>
              <w:fldChar w:fldCharType="separate"/>
            </w:r>
            <w:r>
              <w:rPr>
                <w:noProof/>
                <w:webHidden/>
              </w:rPr>
              <w:t>9</w:t>
            </w:r>
            <w:r>
              <w:rPr>
                <w:noProof/>
                <w:webHidden/>
              </w:rPr>
              <w:fldChar w:fldCharType="end"/>
            </w:r>
          </w:hyperlink>
        </w:p>
        <w:p w14:paraId="10D2A358" w14:textId="6A9DC349" w:rsidR="00193B56" w:rsidRDefault="00193B56">
          <w:pPr>
            <w:pStyle w:val="TM3"/>
            <w:tabs>
              <w:tab w:val="left" w:pos="666"/>
              <w:tab w:val="right" w:leader="dot" w:pos="10196"/>
            </w:tabs>
            <w:rPr>
              <w:rFonts w:cstheme="minorBidi"/>
              <w:smallCaps w:val="0"/>
              <w:noProof/>
            </w:rPr>
          </w:pPr>
          <w:hyperlink w:anchor="_Toc129784716" w:history="1">
            <w:r w:rsidRPr="00B75649">
              <w:rPr>
                <w:rStyle w:val="Lienhypertexte"/>
                <w:noProof/>
              </w:rPr>
              <w:t>3.2.3</w:t>
            </w:r>
            <w:r>
              <w:rPr>
                <w:rFonts w:cstheme="minorBidi"/>
                <w:smallCaps w:val="0"/>
                <w:noProof/>
              </w:rPr>
              <w:tab/>
            </w:r>
            <w:r w:rsidRPr="00B75649">
              <w:rPr>
                <w:rStyle w:val="Lienhypertexte"/>
                <w:noProof/>
              </w:rPr>
              <w:t>Répartition par secteur</w:t>
            </w:r>
            <w:r>
              <w:rPr>
                <w:noProof/>
                <w:webHidden/>
              </w:rPr>
              <w:tab/>
            </w:r>
            <w:r>
              <w:rPr>
                <w:noProof/>
                <w:webHidden/>
              </w:rPr>
              <w:fldChar w:fldCharType="begin"/>
            </w:r>
            <w:r>
              <w:rPr>
                <w:noProof/>
                <w:webHidden/>
              </w:rPr>
              <w:instrText xml:space="preserve"> PAGEREF _Toc129784716 \h </w:instrText>
            </w:r>
            <w:r>
              <w:rPr>
                <w:noProof/>
                <w:webHidden/>
              </w:rPr>
            </w:r>
            <w:r>
              <w:rPr>
                <w:noProof/>
                <w:webHidden/>
              </w:rPr>
              <w:fldChar w:fldCharType="separate"/>
            </w:r>
            <w:r>
              <w:rPr>
                <w:noProof/>
                <w:webHidden/>
              </w:rPr>
              <w:t>10</w:t>
            </w:r>
            <w:r>
              <w:rPr>
                <w:noProof/>
                <w:webHidden/>
              </w:rPr>
              <w:fldChar w:fldCharType="end"/>
            </w:r>
          </w:hyperlink>
        </w:p>
        <w:p w14:paraId="7BD12ED2" w14:textId="358A5AE7" w:rsidR="00193B56" w:rsidRDefault="00193B56">
          <w:pPr>
            <w:pStyle w:val="TM3"/>
            <w:tabs>
              <w:tab w:val="left" w:pos="666"/>
              <w:tab w:val="right" w:leader="dot" w:pos="10196"/>
            </w:tabs>
            <w:rPr>
              <w:rFonts w:cstheme="minorBidi"/>
              <w:smallCaps w:val="0"/>
              <w:noProof/>
            </w:rPr>
          </w:pPr>
          <w:hyperlink w:anchor="_Toc129784717" w:history="1">
            <w:r w:rsidRPr="00B75649">
              <w:rPr>
                <w:rStyle w:val="Lienhypertexte"/>
                <w:noProof/>
              </w:rPr>
              <w:t>3.2.4</w:t>
            </w:r>
            <w:r>
              <w:rPr>
                <w:rFonts w:cstheme="minorBidi"/>
                <w:smallCaps w:val="0"/>
                <w:noProof/>
              </w:rPr>
              <w:tab/>
            </w:r>
            <w:r w:rsidRPr="00B75649">
              <w:rPr>
                <w:rStyle w:val="Lienhypertexte"/>
                <w:noProof/>
              </w:rPr>
              <w:t>Répartition par secteur et par énergie</w:t>
            </w:r>
            <w:r>
              <w:rPr>
                <w:noProof/>
                <w:webHidden/>
              </w:rPr>
              <w:tab/>
            </w:r>
            <w:r>
              <w:rPr>
                <w:noProof/>
                <w:webHidden/>
              </w:rPr>
              <w:fldChar w:fldCharType="begin"/>
            </w:r>
            <w:r>
              <w:rPr>
                <w:noProof/>
                <w:webHidden/>
              </w:rPr>
              <w:instrText xml:space="preserve"> PAGEREF _Toc129784717 \h </w:instrText>
            </w:r>
            <w:r>
              <w:rPr>
                <w:noProof/>
                <w:webHidden/>
              </w:rPr>
            </w:r>
            <w:r>
              <w:rPr>
                <w:noProof/>
                <w:webHidden/>
              </w:rPr>
              <w:fldChar w:fldCharType="separate"/>
            </w:r>
            <w:r>
              <w:rPr>
                <w:noProof/>
                <w:webHidden/>
              </w:rPr>
              <w:t>12</w:t>
            </w:r>
            <w:r>
              <w:rPr>
                <w:noProof/>
                <w:webHidden/>
              </w:rPr>
              <w:fldChar w:fldCharType="end"/>
            </w:r>
          </w:hyperlink>
        </w:p>
        <w:p w14:paraId="22FE35E9" w14:textId="48FE0F0D" w:rsidR="00193B56" w:rsidRDefault="00193B56">
          <w:pPr>
            <w:pStyle w:val="TM3"/>
            <w:tabs>
              <w:tab w:val="left" w:pos="666"/>
              <w:tab w:val="right" w:leader="dot" w:pos="10196"/>
            </w:tabs>
            <w:rPr>
              <w:rFonts w:cstheme="minorBidi"/>
              <w:smallCaps w:val="0"/>
              <w:noProof/>
            </w:rPr>
          </w:pPr>
          <w:hyperlink w:anchor="_Toc129784718" w:history="1">
            <w:r w:rsidRPr="00B75649">
              <w:rPr>
                <w:rStyle w:val="Lienhypertexte"/>
                <w:noProof/>
              </w:rPr>
              <w:t>3.2.5</w:t>
            </w:r>
            <w:r>
              <w:rPr>
                <w:rFonts w:cstheme="minorBidi"/>
                <w:smallCaps w:val="0"/>
                <w:noProof/>
              </w:rPr>
              <w:tab/>
            </w:r>
            <w:r w:rsidRPr="00B75649">
              <w:rPr>
                <w:rStyle w:val="Lienhypertexte"/>
                <w:noProof/>
              </w:rPr>
              <w:t>Zoom sur l’électricité</w:t>
            </w:r>
            <w:r>
              <w:rPr>
                <w:noProof/>
                <w:webHidden/>
              </w:rPr>
              <w:tab/>
            </w:r>
            <w:r>
              <w:rPr>
                <w:noProof/>
                <w:webHidden/>
              </w:rPr>
              <w:fldChar w:fldCharType="begin"/>
            </w:r>
            <w:r>
              <w:rPr>
                <w:noProof/>
                <w:webHidden/>
              </w:rPr>
              <w:instrText xml:space="preserve"> PAGEREF _Toc129784718 \h </w:instrText>
            </w:r>
            <w:r>
              <w:rPr>
                <w:noProof/>
                <w:webHidden/>
              </w:rPr>
            </w:r>
            <w:r>
              <w:rPr>
                <w:noProof/>
                <w:webHidden/>
              </w:rPr>
              <w:fldChar w:fldCharType="separate"/>
            </w:r>
            <w:r>
              <w:rPr>
                <w:noProof/>
                <w:webHidden/>
              </w:rPr>
              <w:t>13</w:t>
            </w:r>
            <w:r>
              <w:rPr>
                <w:noProof/>
                <w:webHidden/>
              </w:rPr>
              <w:fldChar w:fldCharType="end"/>
            </w:r>
          </w:hyperlink>
        </w:p>
        <w:p w14:paraId="0D66FCCC" w14:textId="0963EA30" w:rsidR="00193B56" w:rsidRDefault="00193B56">
          <w:pPr>
            <w:pStyle w:val="TM3"/>
            <w:tabs>
              <w:tab w:val="left" w:pos="666"/>
              <w:tab w:val="right" w:leader="dot" w:pos="10196"/>
            </w:tabs>
            <w:rPr>
              <w:rFonts w:cstheme="minorBidi"/>
              <w:smallCaps w:val="0"/>
              <w:noProof/>
            </w:rPr>
          </w:pPr>
          <w:hyperlink w:anchor="_Toc129784719" w:history="1">
            <w:r w:rsidRPr="00B75649">
              <w:rPr>
                <w:rStyle w:val="Lienhypertexte"/>
                <w:noProof/>
              </w:rPr>
              <w:t>3.2.6</w:t>
            </w:r>
            <w:r>
              <w:rPr>
                <w:rFonts w:cstheme="minorBidi"/>
                <w:smallCaps w:val="0"/>
                <w:noProof/>
              </w:rPr>
              <w:tab/>
            </w:r>
            <w:r w:rsidRPr="00B75649">
              <w:rPr>
                <w:rStyle w:val="Lienhypertexte"/>
                <w:noProof/>
              </w:rPr>
              <w:t>Zoom sur le gaz naturel</w:t>
            </w:r>
            <w:r>
              <w:rPr>
                <w:noProof/>
                <w:webHidden/>
              </w:rPr>
              <w:tab/>
            </w:r>
            <w:r>
              <w:rPr>
                <w:noProof/>
                <w:webHidden/>
              </w:rPr>
              <w:fldChar w:fldCharType="begin"/>
            </w:r>
            <w:r>
              <w:rPr>
                <w:noProof/>
                <w:webHidden/>
              </w:rPr>
              <w:instrText xml:space="preserve"> PAGEREF _Toc129784719 \h </w:instrText>
            </w:r>
            <w:r>
              <w:rPr>
                <w:noProof/>
                <w:webHidden/>
              </w:rPr>
            </w:r>
            <w:r>
              <w:rPr>
                <w:noProof/>
                <w:webHidden/>
              </w:rPr>
              <w:fldChar w:fldCharType="separate"/>
            </w:r>
            <w:r>
              <w:rPr>
                <w:noProof/>
                <w:webHidden/>
              </w:rPr>
              <w:t>15</w:t>
            </w:r>
            <w:r>
              <w:rPr>
                <w:noProof/>
                <w:webHidden/>
              </w:rPr>
              <w:fldChar w:fldCharType="end"/>
            </w:r>
          </w:hyperlink>
        </w:p>
        <w:p w14:paraId="42FCC6B8" w14:textId="26FC01CF" w:rsidR="00193B56" w:rsidRDefault="00193B56">
          <w:pPr>
            <w:pStyle w:val="TM3"/>
            <w:tabs>
              <w:tab w:val="left" w:pos="666"/>
              <w:tab w:val="right" w:leader="dot" w:pos="10196"/>
            </w:tabs>
            <w:rPr>
              <w:rFonts w:cstheme="minorBidi"/>
              <w:smallCaps w:val="0"/>
              <w:noProof/>
            </w:rPr>
          </w:pPr>
          <w:hyperlink w:anchor="_Toc129784720" w:history="1">
            <w:r w:rsidRPr="00B75649">
              <w:rPr>
                <w:rStyle w:val="Lienhypertexte"/>
                <w:noProof/>
              </w:rPr>
              <w:t>3.2.7</w:t>
            </w:r>
            <w:r>
              <w:rPr>
                <w:rFonts w:cstheme="minorBidi"/>
                <w:smallCaps w:val="0"/>
                <w:noProof/>
              </w:rPr>
              <w:tab/>
            </w:r>
            <w:r w:rsidRPr="00B75649">
              <w:rPr>
                <w:rStyle w:val="Lienhypertexte"/>
                <w:noProof/>
              </w:rPr>
              <w:t>Comparaison avec les Yvelines et l’Ile-de-France</w:t>
            </w:r>
            <w:r>
              <w:rPr>
                <w:noProof/>
                <w:webHidden/>
              </w:rPr>
              <w:tab/>
            </w:r>
            <w:r>
              <w:rPr>
                <w:noProof/>
                <w:webHidden/>
              </w:rPr>
              <w:fldChar w:fldCharType="begin"/>
            </w:r>
            <w:r>
              <w:rPr>
                <w:noProof/>
                <w:webHidden/>
              </w:rPr>
              <w:instrText xml:space="preserve"> PAGEREF _Toc129784720 \h </w:instrText>
            </w:r>
            <w:r>
              <w:rPr>
                <w:noProof/>
                <w:webHidden/>
              </w:rPr>
            </w:r>
            <w:r>
              <w:rPr>
                <w:noProof/>
                <w:webHidden/>
              </w:rPr>
              <w:fldChar w:fldCharType="separate"/>
            </w:r>
            <w:r>
              <w:rPr>
                <w:noProof/>
                <w:webHidden/>
              </w:rPr>
              <w:t>16</w:t>
            </w:r>
            <w:r>
              <w:rPr>
                <w:noProof/>
                <w:webHidden/>
              </w:rPr>
              <w:fldChar w:fldCharType="end"/>
            </w:r>
          </w:hyperlink>
        </w:p>
        <w:p w14:paraId="76606BEA" w14:textId="4D8D27B1" w:rsidR="00193B56" w:rsidRDefault="00193B56">
          <w:pPr>
            <w:pStyle w:val="TM3"/>
            <w:tabs>
              <w:tab w:val="left" w:pos="666"/>
              <w:tab w:val="right" w:leader="dot" w:pos="10196"/>
            </w:tabs>
            <w:rPr>
              <w:rFonts w:cstheme="minorBidi"/>
              <w:smallCaps w:val="0"/>
              <w:noProof/>
            </w:rPr>
          </w:pPr>
          <w:hyperlink w:anchor="_Toc129784721" w:history="1">
            <w:r w:rsidRPr="00B75649">
              <w:rPr>
                <w:rStyle w:val="Lienhypertexte"/>
                <w:noProof/>
              </w:rPr>
              <w:t>3.2.8</w:t>
            </w:r>
            <w:r>
              <w:rPr>
                <w:rFonts w:cstheme="minorBidi"/>
                <w:smallCaps w:val="0"/>
                <w:noProof/>
              </w:rPr>
              <w:tab/>
            </w:r>
            <w:r w:rsidRPr="00B75649">
              <w:rPr>
                <w:rStyle w:val="Lienhypertexte"/>
                <w:noProof/>
              </w:rPr>
              <w:t>Evolution des consommations sur plus de 10 ans</w:t>
            </w:r>
            <w:r>
              <w:rPr>
                <w:noProof/>
                <w:webHidden/>
              </w:rPr>
              <w:tab/>
            </w:r>
            <w:r>
              <w:rPr>
                <w:noProof/>
                <w:webHidden/>
              </w:rPr>
              <w:fldChar w:fldCharType="begin"/>
            </w:r>
            <w:r>
              <w:rPr>
                <w:noProof/>
                <w:webHidden/>
              </w:rPr>
              <w:instrText xml:space="preserve"> PAGEREF _Toc129784721 \h </w:instrText>
            </w:r>
            <w:r>
              <w:rPr>
                <w:noProof/>
                <w:webHidden/>
              </w:rPr>
            </w:r>
            <w:r>
              <w:rPr>
                <w:noProof/>
                <w:webHidden/>
              </w:rPr>
              <w:fldChar w:fldCharType="separate"/>
            </w:r>
            <w:r>
              <w:rPr>
                <w:noProof/>
                <w:webHidden/>
              </w:rPr>
              <w:t>17</w:t>
            </w:r>
            <w:r>
              <w:rPr>
                <w:noProof/>
                <w:webHidden/>
              </w:rPr>
              <w:fldChar w:fldCharType="end"/>
            </w:r>
          </w:hyperlink>
        </w:p>
        <w:p w14:paraId="6C18DF80" w14:textId="433B73EF" w:rsidR="00193B56" w:rsidRDefault="00193B56">
          <w:pPr>
            <w:pStyle w:val="TM1"/>
            <w:tabs>
              <w:tab w:val="left" w:pos="332"/>
              <w:tab w:val="right" w:leader="dot" w:pos="10196"/>
            </w:tabs>
            <w:rPr>
              <w:rFonts w:cstheme="minorBidi"/>
              <w:b w:val="0"/>
              <w:bCs w:val="0"/>
              <w:caps w:val="0"/>
              <w:noProof/>
              <w:u w:val="none"/>
            </w:rPr>
          </w:pPr>
          <w:hyperlink w:anchor="_Toc129784722" w:history="1">
            <w:r w:rsidRPr="00B75649">
              <w:rPr>
                <w:rStyle w:val="Lienhypertexte"/>
                <w:noProof/>
              </w:rPr>
              <w:t>4</w:t>
            </w:r>
            <w:r>
              <w:rPr>
                <w:rFonts w:cstheme="minorBidi"/>
                <w:b w:val="0"/>
                <w:bCs w:val="0"/>
                <w:caps w:val="0"/>
                <w:noProof/>
                <w:u w:val="none"/>
              </w:rPr>
              <w:tab/>
            </w:r>
            <w:r w:rsidRPr="00B75649">
              <w:rPr>
                <w:rStyle w:val="Lienhypertexte"/>
                <w:noProof/>
              </w:rPr>
              <w:t>Production d’énergies renouvelables</w:t>
            </w:r>
            <w:r>
              <w:rPr>
                <w:noProof/>
                <w:webHidden/>
              </w:rPr>
              <w:tab/>
            </w:r>
            <w:r>
              <w:rPr>
                <w:noProof/>
                <w:webHidden/>
              </w:rPr>
              <w:fldChar w:fldCharType="begin"/>
            </w:r>
            <w:r>
              <w:rPr>
                <w:noProof/>
                <w:webHidden/>
              </w:rPr>
              <w:instrText xml:space="preserve"> PAGEREF _Toc129784722 \h </w:instrText>
            </w:r>
            <w:r>
              <w:rPr>
                <w:noProof/>
                <w:webHidden/>
              </w:rPr>
            </w:r>
            <w:r>
              <w:rPr>
                <w:noProof/>
                <w:webHidden/>
              </w:rPr>
              <w:fldChar w:fldCharType="separate"/>
            </w:r>
            <w:r>
              <w:rPr>
                <w:noProof/>
                <w:webHidden/>
              </w:rPr>
              <w:t>17</w:t>
            </w:r>
            <w:r>
              <w:rPr>
                <w:noProof/>
                <w:webHidden/>
              </w:rPr>
              <w:fldChar w:fldCharType="end"/>
            </w:r>
          </w:hyperlink>
        </w:p>
        <w:p w14:paraId="11431622" w14:textId="73A1D396" w:rsidR="00193B56" w:rsidRDefault="00193B56">
          <w:pPr>
            <w:pStyle w:val="TM2"/>
            <w:tabs>
              <w:tab w:val="left" w:pos="502"/>
              <w:tab w:val="right" w:leader="dot" w:pos="10196"/>
            </w:tabs>
            <w:rPr>
              <w:rFonts w:cstheme="minorBidi"/>
              <w:b w:val="0"/>
              <w:bCs w:val="0"/>
              <w:smallCaps w:val="0"/>
              <w:noProof/>
            </w:rPr>
          </w:pPr>
          <w:hyperlink w:anchor="_Toc129784723" w:history="1">
            <w:r w:rsidRPr="00B75649">
              <w:rPr>
                <w:rStyle w:val="Lienhypertexte"/>
                <w:noProof/>
              </w:rPr>
              <w:t>4.1</w:t>
            </w:r>
            <w:r>
              <w:rPr>
                <w:rFonts w:cstheme="minorBidi"/>
                <w:b w:val="0"/>
                <w:bCs w:val="0"/>
                <w:smallCaps w:val="0"/>
                <w:noProof/>
              </w:rPr>
              <w:tab/>
            </w:r>
            <w:r w:rsidRPr="00B75649">
              <w:rPr>
                <w:rStyle w:val="Lienhypertexte"/>
                <w:noProof/>
              </w:rPr>
              <w:t>Production d’électricité renouvelable</w:t>
            </w:r>
            <w:r>
              <w:rPr>
                <w:noProof/>
                <w:webHidden/>
              </w:rPr>
              <w:tab/>
            </w:r>
            <w:r>
              <w:rPr>
                <w:noProof/>
                <w:webHidden/>
              </w:rPr>
              <w:fldChar w:fldCharType="begin"/>
            </w:r>
            <w:r>
              <w:rPr>
                <w:noProof/>
                <w:webHidden/>
              </w:rPr>
              <w:instrText xml:space="preserve"> PAGEREF _Toc129784723 \h </w:instrText>
            </w:r>
            <w:r>
              <w:rPr>
                <w:noProof/>
                <w:webHidden/>
              </w:rPr>
            </w:r>
            <w:r>
              <w:rPr>
                <w:noProof/>
                <w:webHidden/>
              </w:rPr>
              <w:fldChar w:fldCharType="separate"/>
            </w:r>
            <w:r>
              <w:rPr>
                <w:noProof/>
                <w:webHidden/>
              </w:rPr>
              <w:t>17</w:t>
            </w:r>
            <w:r>
              <w:rPr>
                <w:noProof/>
                <w:webHidden/>
              </w:rPr>
              <w:fldChar w:fldCharType="end"/>
            </w:r>
          </w:hyperlink>
        </w:p>
        <w:p w14:paraId="55B4C7BA" w14:textId="052E38F0" w:rsidR="00193B56" w:rsidRDefault="00193B56">
          <w:pPr>
            <w:pStyle w:val="TM3"/>
            <w:tabs>
              <w:tab w:val="left" w:pos="666"/>
              <w:tab w:val="right" w:leader="dot" w:pos="10196"/>
            </w:tabs>
            <w:rPr>
              <w:rFonts w:cstheme="minorBidi"/>
              <w:smallCaps w:val="0"/>
              <w:noProof/>
            </w:rPr>
          </w:pPr>
          <w:hyperlink w:anchor="_Toc129784724" w:history="1">
            <w:r w:rsidRPr="00B75649">
              <w:rPr>
                <w:rStyle w:val="Lienhypertexte"/>
                <w:noProof/>
              </w:rPr>
              <w:t>4.1.1</w:t>
            </w:r>
            <w:r>
              <w:rPr>
                <w:rFonts w:cstheme="minorBidi"/>
                <w:smallCaps w:val="0"/>
                <w:noProof/>
              </w:rPr>
              <w:tab/>
            </w:r>
            <w:r w:rsidRPr="00B75649">
              <w:rPr>
                <w:rStyle w:val="Lienhypertexte"/>
                <w:noProof/>
              </w:rPr>
              <w:t>L’éolien terrestre</w:t>
            </w:r>
            <w:r>
              <w:rPr>
                <w:noProof/>
                <w:webHidden/>
              </w:rPr>
              <w:tab/>
            </w:r>
            <w:r>
              <w:rPr>
                <w:noProof/>
                <w:webHidden/>
              </w:rPr>
              <w:fldChar w:fldCharType="begin"/>
            </w:r>
            <w:r>
              <w:rPr>
                <w:noProof/>
                <w:webHidden/>
              </w:rPr>
              <w:instrText xml:space="preserve"> PAGEREF _Toc129784724 \h </w:instrText>
            </w:r>
            <w:r>
              <w:rPr>
                <w:noProof/>
                <w:webHidden/>
              </w:rPr>
            </w:r>
            <w:r>
              <w:rPr>
                <w:noProof/>
                <w:webHidden/>
              </w:rPr>
              <w:fldChar w:fldCharType="separate"/>
            </w:r>
            <w:r>
              <w:rPr>
                <w:noProof/>
                <w:webHidden/>
              </w:rPr>
              <w:t>17</w:t>
            </w:r>
            <w:r>
              <w:rPr>
                <w:noProof/>
                <w:webHidden/>
              </w:rPr>
              <w:fldChar w:fldCharType="end"/>
            </w:r>
          </w:hyperlink>
        </w:p>
        <w:p w14:paraId="135F1F50" w14:textId="1FDE7C81" w:rsidR="00193B56" w:rsidRDefault="00193B56">
          <w:pPr>
            <w:pStyle w:val="TM3"/>
            <w:tabs>
              <w:tab w:val="left" w:pos="666"/>
              <w:tab w:val="right" w:leader="dot" w:pos="10196"/>
            </w:tabs>
            <w:rPr>
              <w:rFonts w:cstheme="minorBidi"/>
              <w:smallCaps w:val="0"/>
              <w:noProof/>
            </w:rPr>
          </w:pPr>
          <w:hyperlink w:anchor="_Toc129784725" w:history="1">
            <w:r w:rsidRPr="00B75649">
              <w:rPr>
                <w:rStyle w:val="Lienhypertexte"/>
                <w:noProof/>
              </w:rPr>
              <w:t>4.1.2</w:t>
            </w:r>
            <w:r>
              <w:rPr>
                <w:rFonts w:cstheme="minorBidi"/>
                <w:smallCaps w:val="0"/>
                <w:noProof/>
              </w:rPr>
              <w:tab/>
            </w:r>
            <w:r w:rsidRPr="00B75649">
              <w:rPr>
                <w:rStyle w:val="Lienhypertexte"/>
                <w:noProof/>
              </w:rPr>
              <w:t>Le solaire photovoltaïque</w:t>
            </w:r>
            <w:r>
              <w:rPr>
                <w:noProof/>
                <w:webHidden/>
              </w:rPr>
              <w:tab/>
            </w:r>
            <w:r>
              <w:rPr>
                <w:noProof/>
                <w:webHidden/>
              </w:rPr>
              <w:fldChar w:fldCharType="begin"/>
            </w:r>
            <w:r>
              <w:rPr>
                <w:noProof/>
                <w:webHidden/>
              </w:rPr>
              <w:instrText xml:space="preserve"> PAGEREF _Toc129784725 \h </w:instrText>
            </w:r>
            <w:r>
              <w:rPr>
                <w:noProof/>
                <w:webHidden/>
              </w:rPr>
            </w:r>
            <w:r>
              <w:rPr>
                <w:noProof/>
                <w:webHidden/>
              </w:rPr>
              <w:fldChar w:fldCharType="separate"/>
            </w:r>
            <w:r>
              <w:rPr>
                <w:noProof/>
                <w:webHidden/>
              </w:rPr>
              <w:t>18</w:t>
            </w:r>
            <w:r>
              <w:rPr>
                <w:noProof/>
                <w:webHidden/>
              </w:rPr>
              <w:fldChar w:fldCharType="end"/>
            </w:r>
          </w:hyperlink>
        </w:p>
        <w:p w14:paraId="4340F363" w14:textId="24FEE1EC" w:rsidR="00193B56" w:rsidRDefault="00193B56">
          <w:pPr>
            <w:pStyle w:val="TM3"/>
            <w:tabs>
              <w:tab w:val="left" w:pos="666"/>
              <w:tab w:val="right" w:leader="dot" w:pos="10196"/>
            </w:tabs>
            <w:rPr>
              <w:rFonts w:cstheme="minorBidi"/>
              <w:smallCaps w:val="0"/>
              <w:noProof/>
            </w:rPr>
          </w:pPr>
          <w:hyperlink w:anchor="_Toc129784726" w:history="1">
            <w:r w:rsidRPr="00B75649">
              <w:rPr>
                <w:rStyle w:val="Lienhypertexte"/>
                <w:noProof/>
              </w:rPr>
              <w:t>4.1.3</w:t>
            </w:r>
            <w:r>
              <w:rPr>
                <w:rFonts w:cstheme="minorBidi"/>
                <w:smallCaps w:val="0"/>
                <w:noProof/>
              </w:rPr>
              <w:tab/>
            </w:r>
            <w:r w:rsidRPr="00B75649">
              <w:rPr>
                <w:rStyle w:val="Lienhypertexte"/>
                <w:noProof/>
              </w:rPr>
              <w:t>Le solaire thermodynamique</w:t>
            </w:r>
            <w:r>
              <w:rPr>
                <w:noProof/>
                <w:webHidden/>
              </w:rPr>
              <w:tab/>
            </w:r>
            <w:r>
              <w:rPr>
                <w:noProof/>
                <w:webHidden/>
              </w:rPr>
              <w:fldChar w:fldCharType="begin"/>
            </w:r>
            <w:r>
              <w:rPr>
                <w:noProof/>
                <w:webHidden/>
              </w:rPr>
              <w:instrText xml:space="preserve"> PAGEREF _Toc129784726 \h </w:instrText>
            </w:r>
            <w:r>
              <w:rPr>
                <w:noProof/>
                <w:webHidden/>
              </w:rPr>
            </w:r>
            <w:r>
              <w:rPr>
                <w:noProof/>
                <w:webHidden/>
              </w:rPr>
              <w:fldChar w:fldCharType="separate"/>
            </w:r>
            <w:r>
              <w:rPr>
                <w:noProof/>
                <w:webHidden/>
              </w:rPr>
              <w:t>20</w:t>
            </w:r>
            <w:r>
              <w:rPr>
                <w:noProof/>
                <w:webHidden/>
              </w:rPr>
              <w:fldChar w:fldCharType="end"/>
            </w:r>
          </w:hyperlink>
        </w:p>
        <w:p w14:paraId="2DC60711" w14:textId="1AC65733" w:rsidR="00193B56" w:rsidRDefault="00193B56">
          <w:pPr>
            <w:pStyle w:val="TM3"/>
            <w:tabs>
              <w:tab w:val="left" w:pos="666"/>
              <w:tab w:val="right" w:leader="dot" w:pos="10196"/>
            </w:tabs>
            <w:rPr>
              <w:rFonts w:cstheme="minorBidi"/>
              <w:smallCaps w:val="0"/>
              <w:noProof/>
            </w:rPr>
          </w:pPr>
          <w:hyperlink w:anchor="_Toc129784727" w:history="1">
            <w:r w:rsidRPr="00B75649">
              <w:rPr>
                <w:rStyle w:val="Lienhypertexte"/>
                <w:noProof/>
              </w:rPr>
              <w:t>4.1.4</w:t>
            </w:r>
            <w:r>
              <w:rPr>
                <w:rFonts w:cstheme="minorBidi"/>
                <w:smallCaps w:val="0"/>
                <w:noProof/>
              </w:rPr>
              <w:tab/>
            </w:r>
            <w:r w:rsidRPr="00B75649">
              <w:rPr>
                <w:rStyle w:val="Lienhypertexte"/>
                <w:noProof/>
              </w:rPr>
              <w:t>La géothermie</w:t>
            </w:r>
            <w:r>
              <w:rPr>
                <w:noProof/>
                <w:webHidden/>
              </w:rPr>
              <w:tab/>
            </w:r>
            <w:r>
              <w:rPr>
                <w:noProof/>
                <w:webHidden/>
              </w:rPr>
              <w:fldChar w:fldCharType="begin"/>
            </w:r>
            <w:r>
              <w:rPr>
                <w:noProof/>
                <w:webHidden/>
              </w:rPr>
              <w:instrText xml:space="preserve"> PAGEREF _Toc129784727 \h </w:instrText>
            </w:r>
            <w:r>
              <w:rPr>
                <w:noProof/>
                <w:webHidden/>
              </w:rPr>
            </w:r>
            <w:r>
              <w:rPr>
                <w:noProof/>
                <w:webHidden/>
              </w:rPr>
              <w:fldChar w:fldCharType="separate"/>
            </w:r>
            <w:r>
              <w:rPr>
                <w:noProof/>
                <w:webHidden/>
              </w:rPr>
              <w:t>20</w:t>
            </w:r>
            <w:r>
              <w:rPr>
                <w:noProof/>
                <w:webHidden/>
              </w:rPr>
              <w:fldChar w:fldCharType="end"/>
            </w:r>
          </w:hyperlink>
        </w:p>
        <w:p w14:paraId="2109D272" w14:textId="19C43F8A" w:rsidR="00193B56" w:rsidRDefault="00193B56">
          <w:pPr>
            <w:pStyle w:val="TM3"/>
            <w:tabs>
              <w:tab w:val="left" w:pos="666"/>
              <w:tab w:val="right" w:leader="dot" w:pos="10196"/>
            </w:tabs>
            <w:rPr>
              <w:rFonts w:cstheme="minorBidi"/>
              <w:smallCaps w:val="0"/>
              <w:noProof/>
            </w:rPr>
          </w:pPr>
          <w:hyperlink w:anchor="_Toc129784728" w:history="1">
            <w:r w:rsidRPr="00B75649">
              <w:rPr>
                <w:rStyle w:val="Lienhypertexte"/>
                <w:noProof/>
              </w:rPr>
              <w:t>4.1.5</w:t>
            </w:r>
            <w:r>
              <w:rPr>
                <w:rFonts w:cstheme="minorBidi"/>
                <w:smallCaps w:val="0"/>
                <w:noProof/>
              </w:rPr>
              <w:tab/>
            </w:r>
            <w:r w:rsidRPr="00B75649">
              <w:rPr>
                <w:rStyle w:val="Lienhypertexte"/>
                <w:noProof/>
              </w:rPr>
              <w:t>Hydroélectricité</w:t>
            </w:r>
            <w:r>
              <w:rPr>
                <w:noProof/>
                <w:webHidden/>
              </w:rPr>
              <w:tab/>
            </w:r>
            <w:r>
              <w:rPr>
                <w:noProof/>
                <w:webHidden/>
              </w:rPr>
              <w:fldChar w:fldCharType="begin"/>
            </w:r>
            <w:r>
              <w:rPr>
                <w:noProof/>
                <w:webHidden/>
              </w:rPr>
              <w:instrText xml:space="preserve"> PAGEREF _Toc129784728 \h </w:instrText>
            </w:r>
            <w:r>
              <w:rPr>
                <w:noProof/>
                <w:webHidden/>
              </w:rPr>
            </w:r>
            <w:r>
              <w:rPr>
                <w:noProof/>
                <w:webHidden/>
              </w:rPr>
              <w:fldChar w:fldCharType="separate"/>
            </w:r>
            <w:r>
              <w:rPr>
                <w:noProof/>
                <w:webHidden/>
              </w:rPr>
              <w:t>21</w:t>
            </w:r>
            <w:r>
              <w:rPr>
                <w:noProof/>
                <w:webHidden/>
              </w:rPr>
              <w:fldChar w:fldCharType="end"/>
            </w:r>
          </w:hyperlink>
        </w:p>
        <w:p w14:paraId="10DB2CE5" w14:textId="3EED4BB1" w:rsidR="00193B56" w:rsidRDefault="00193B56">
          <w:pPr>
            <w:pStyle w:val="TM2"/>
            <w:tabs>
              <w:tab w:val="left" w:pos="502"/>
              <w:tab w:val="right" w:leader="dot" w:pos="10196"/>
            </w:tabs>
            <w:rPr>
              <w:rFonts w:cstheme="minorBidi"/>
              <w:b w:val="0"/>
              <w:bCs w:val="0"/>
              <w:smallCaps w:val="0"/>
              <w:noProof/>
            </w:rPr>
          </w:pPr>
          <w:hyperlink w:anchor="_Toc129784729" w:history="1">
            <w:r w:rsidRPr="00B75649">
              <w:rPr>
                <w:rStyle w:val="Lienhypertexte"/>
                <w:noProof/>
              </w:rPr>
              <w:t>4.2</w:t>
            </w:r>
            <w:r>
              <w:rPr>
                <w:rFonts w:cstheme="minorBidi"/>
                <w:b w:val="0"/>
                <w:bCs w:val="0"/>
                <w:smallCaps w:val="0"/>
                <w:noProof/>
              </w:rPr>
              <w:tab/>
            </w:r>
            <w:r w:rsidRPr="00B75649">
              <w:rPr>
                <w:rStyle w:val="Lienhypertexte"/>
                <w:noProof/>
              </w:rPr>
              <w:t>Production de chaleur renouvelable</w:t>
            </w:r>
            <w:r>
              <w:rPr>
                <w:noProof/>
                <w:webHidden/>
              </w:rPr>
              <w:tab/>
            </w:r>
            <w:r>
              <w:rPr>
                <w:noProof/>
                <w:webHidden/>
              </w:rPr>
              <w:fldChar w:fldCharType="begin"/>
            </w:r>
            <w:r>
              <w:rPr>
                <w:noProof/>
                <w:webHidden/>
              </w:rPr>
              <w:instrText xml:space="preserve"> PAGEREF _Toc129784729 \h </w:instrText>
            </w:r>
            <w:r>
              <w:rPr>
                <w:noProof/>
                <w:webHidden/>
              </w:rPr>
            </w:r>
            <w:r>
              <w:rPr>
                <w:noProof/>
                <w:webHidden/>
              </w:rPr>
              <w:fldChar w:fldCharType="separate"/>
            </w:r>
            <w:r>
              <w:rPr>
                <w:noProof/>
                <w:webHidden/>
              </w:rPr>
              <w:t>22</w:t>
            </w:r>
            <w:r>
              <w:rPr>
                <w:noProof/>
                <w:webHidden/>
              </w:rPr>
              <w:fldChar w:fldCharType="end"/>
            </w:r>
          </w:hyperlink>
        </w:p>
        <w:p w14:paraId="4355F9A0" w14:textId="7F42B4BA" w:rsidR="00193B56" w:rsidRDefault="00193B56">
          <w:pPr>
            <w:pStyle w:val="TM3"/>
            <w:tabs>
              <w:tab w:val="left" w:pos="666"/>
              <w:tab w:val="right" w:leader="dot" w:pos="10196"/>
            </w:tabs>
            <w:rPr>
              <w:rFonts w:cstheme="minorBidi"/>
              <w:smallCaps w:val="0"/>
              <w:noProof/>
            </w:rPr>
          </w:pPr>
          <w:hyperlink w:anchor="_Toc129784730" w:history="1">
            <w:r w:rsidRPr="00B75649">
              <w:rPr>
                <w:rStyle w:val="Lienhypertexte"/>
                <w:noProof/>
              </w:rPr>
              <w:t>4.2.1</w:t>
            </w:r>
            <w:r>
              <w:rPr>
                <w:rFonts w:cstheme="minorBidi"/>
                <w:smallCaps w:val="0"/>
                <w:noProof/>
              </w:rPr>
              <w:tab/>
            </w:r>
            <w:r w:rsidRPr="00B75649">
              <w:rPr>
                <w:rStyle w:val="Lienhypertexte"/>
                <w:noProof/>
              </w:rPr>
              <w:t>Solaire thermique</w:t>
            </w:r>
            <w:r>
              <w:rPr>
                <w:noProof/>
                <w:webHidden/>
              </w:rPr>
              <w:tab/>
            </w:r>
            <w:r>
              <w:rPr>
                <w:noProof/>
                <w:webHidden/>
              </w:rPr>
              <w:fldChar w:fldCharType="begin"/>
            </w:r>
            <w:r>
              <w:rPr>
                <w:noProof/>
                <w:webHidden/>
              </w:rPr>
              <w:instrText xml:space="preserve"> PAGEREF _Toc129784730 \h </w:instrText>
            </w:r>
            <w:r>
              <w:rPr>
                <w:noProof/>
                <w:webHidden/>
              </w:rPr>
            </w:r>
            <w:r>
              <w:rPr>
                <w:noProof/>
                <w:webHidden/>
              </w:rPr>
              <w:fldChar w:fldCharType="separate"/>
            </w:r>
            <w:r>
              <w:rPr>
                <w:noProof/>
                <w:webHidden/>
              </w:rPr>
              <w:t>22</w:t>
            </w:r>
            <w:r>
              <w:rPr>
                <w:noProof/>
                <w:webHidden/>
              </w:rPr>
              <w:fldChar w:fldCharType="end"/>
            </w:r>
          </w:hyperlink>
        </w:p>
        <w:p w14:paraId="54563DF3" w14:textId="703D7F00" w:rsidR="00193B56" w:rsidRDefault="00193B56">
          <w:pPr>
            <w:pStyle w:val="TM3"/>
            <w:tabs>
              <w:tab w:val="left" w:pos="666"/>
              <w:tab w:val="right" w:leader="dot" w:pos="10196"/>
            </w:tabs>
            <w:rPr>
              <w:rFonts w:cstheme="minorBidi"/>
              <w:smallCaps w:val="0"/>
              <w:noProof/>
            </w:rPr>
          </w:pPr>
          <w:hyperlink w:anchor="_Toc129784731" w:history="1">
            <w:r w:rsidRPr="00B75649">
              <w:rPr>
                <w:rStyle w:val="Lienhypertexte"/>
                <w:noProof/>
              </w:rPr>
              <w:t>4.2.2</w:t>
            </w:r>
            <w:r>
              <w:rPr>
                <w:rFonts w:cstheme="minorBidi"/>
                <w:smallCaps w:val="0"/>
                <w:noProof/>
              </w:rPr>
              <w:tab/>
            </w:r>
            <w:r w:rsidRPr="00B75649">
              <w:rPr>
                <w:rStyle w:val="Lienhypertexte"/>
                <w:noProof/>
              </w:rPr>
              <w:t>Géothermie</w:t>
            </w:r>
            <w:r>
              <w:rPr>
                <w:noProof/>
                <w:webHidden/>
              </w:rPr>
              <w:tab/>
            </w:r>
            <w:r>
              <w:rPr>
                <w:noProof/>
                <w:webHidden/>
              </w:rPr>
              <w:fldChar w:fldCharType="begin"/>
            </w:r>
            <w:r>
              <w:rPr>
                <w:noProof/>
                <w:webHidden/>
              </w:rPr>
              <w:instrText xml:space="preserve"> PAGEREF _Toc129784731 \h </w:instrText>
            </w:r>
            <w:r>
              <w:rPr>
                <w:noProof/>
                <w:webHidden/>
              </w:rPr>
            </w:r>
            <w:r>
              <w:rPr>
                <w:noProof/>
                <w:webHidden/>
              </w:rPr>
              <w:fldChar w:fldCharType="separate"/>
            </w:r>
            <w:r>
              <w:rPr>
                <w:noProof/>
                <w:webHidden/>
              </w:rPr>
              <w:t>22</w:t>
            </w:r>
            <w:r>
              <w:rPr>
                <w:noProof/>
                <w:webHidden/>
              </w:rPr>
              <w:fldChar w:fldCharType="end"/>
            </w:r>
          </w:hyperlink>
        </w:p>
        <w:p w14:paraId="0B93706B" w14:textId="2C4CAD98" w:rsidR="00193B56" w:rsidRDefault="00193B56">
          <w:pPr>
            <w:pStyle w:val="TM2"/>
            <w:tabs>
              <w:tab w:val="left" w:pos="502"/>
              <w:tab w:val="right" w:leader="dot" w:pos="10196"/>
            </w:tabs>
            <w:rPr>
              <w:rFonts w:cstheme="minorBidi"/>
              <w:b w:val="0"/>
              <w:bCs w:val="0"/>
              <w:smallCaps w:val="0"/>
              <w:noProof/>
            </w:rPr>
          </w:pPr>
          <w:hyperlink w:anchor="_Toc129784732" w:history="1">
            <w:r w:rsidRPr="00B75649">
              <w:rPr>
                <w:rStyle w:val="Lienhypertexte"/>
                <w:noProof/>
              </w:rPr>
              <w:t>4.3</w:t>
            </w:r>
            <w:r>
              <w:rPr>
                <w:rFonts w:cstheme="minorBidi"/>
                <w:b w:val="0"/>
                <w:bCs w:val="0"/>
                <w:smallCaps w:val="0"/>
                <w:noProof/>
              </w:rPr>
              <w:tab/>
            </w:r>
            <w:r w:rsidRPr="00B75649">
              <w:rPr>
                <w:rStyle w:val="Lienhypertexte"/>
                <w:noProof/>
              </w:rPr>
              <w:t>Production de chaleur, d’électricité ou de carburants à partir d’un même vecteur énergétique</w:t>
            </w:r>
            <w:r>
              <w:rPr>
                <w:noProof/>
                <w:webHidden/>
              </w:rPr>
              <w:tab/>
            </w:r>
            <w:r>
              <w:rPr>
                <w:noProof/>
                <w:webHidden/>
              </w:rPr>
              <w:fldChar w:fldCharType="begin"/>
            </w:r>
            <w:r>
              <w:rPr>
                <w:noProof/>
                <w:webHidden/>
              </w:rPr>
              <w:instrText xml:space="preserve"> PAGEREF _Toc129784732 \h </w:instrText>
            </w:r>
            <w:r>
              <w:rPr>
                <w:noProof/>
                <w:webHidden/>
              </w:rPr>
            </w:r>
            <w:r>
              <w:rPr>
                <w:noProof/>
                <w:webHidden/>
              </w:rPr>
              <w:fldChar w:fldCharType="separate"/>
            </w:r>
            <w:r>
              <w:rPr>
                <w:noProof/>
                <w:webHidden/>
              </w:rPr>
              <w:t>23</w:t>
            </w:r>
            <w:r>
              <w:rPr>
                <w:noProof/>
                <w:webHidden/>
              </w:rPr>
              <w:fldChar w:fldCharType="end"/>
            </w:r>
          </w:hyperlink>
        </w:p>
        <w:p w14:paraId="324C63E2" w14:textId="04A104CB" w:rsidR="00193B56" w:rsidRDefault="00193B56">
          <w:pPr>
            <w:pStyle w:val="TM3"/>
            <w:tabs>
              <w:tab w:val="left" w:pos="666"/>
              <w:tab w:val="right" w:leader="dot" w:pos="10196"/>
            </w:tabs>
            <w:rPr>
              <w:rFonts w:cstheme="minorBidi"/>
              <w:smallCaps w:val="0"/>
              <w:noProof/>
            </w:rPr>
          </w:pPr>
          <w:hyperlink w:anchor="_Toc129784733" w:history="1">
            <w:r w:rsidRPr="00B75649">
              <w:rPr>
                <w:rStyle w:val="Lienhypertexte"/>
                <w:noProof/>
              </w:rPr>
              <w:t>4.3.1</w:t>
            </w:r>
            <w:r>
              <w:rPr>
                <w:rFonts w:cstheme="minorBidi"/>
                <w:smallCaps w:val="0"/>
                <w:noProof/>
              </w:rPr>
              <w:tab/>
            </w:r>
            <w:r w:rsidRPr="00B75649">
              <w:rPr>
                <w:rStyle w:val="Lienhypertexte"/>
                <w:noProof/>
              </w:rPr>
              <w:t>Le bois énergie</w:t>
            </w:r>
            <w:r>
              <w:rPr>
                <w:noProof/>
                <w:webHidden/>
              </w:rPr>
              <w:tab/>
            </w:r>
            <w:r>
              <w:rPr>
                <w:noProof/>
                <w:webHidden/>
              </w:rPr>
              <w:fldChar w:fldCharType="begin"/>
            </w:r>
            <w:r>
              <w:rPr>
                <w:noProof/>
                <w:webHidden/>
              </w:rPr>
              <w:instrText xml:space="preserve"> PAGEREF _Toc129784733 \h </w:instrText>
            </w:r>
            <w:r>
              <w:rPr>
                <w:noProof/>
                <w:webHidden/>
              </w:rPr>
            </w:r>
            <w:r>
              <w:rPr>
                <w:noProof/>
                <w:webHidden/>
              </w:rPr>
              <w:fldChar w:fldCharType="separate"/>
            </w:r>
            <w:r>
              <w:rPr>
                <w:noProof/>
                <w:webHidden/>
              </w:rPr>
              <w:t>23</w:t>
            </w:r>
            <w:r>
              <w:rPr>
                <w:noProof/>
                <w:webHidden/>
              </w:rPr>
              <w:fldChar w:fldCharType="end"/>
            </w:r>
          </w:hyperlink>
        </w:p>
        <w:p w14:paraId="37A0929E" w14:textId="2517B04A" w:rsidR="00193B56" w:rsidRDefault="00193B56">
          <w:pPr>
            <w:pStyle w:val="TM3"/>
            <w:tabs>
              <w:tab w:val="left" w:pos="666"/>
              <w:tab w:val="right" w:leader="dot" w:pos="10196"/>
            </w:tabs>
            <w:rPr>
              <w:rFonts w:cstheme="minorBidi"/>
              <w:smallCaps w:val="0"/>
              <w:noProof/>
            </w:rPr>
          </w:pPr>
          <w:hyperlink w:anchor="_Toc129784734" w:history="1">
            <w:r w:rsidRPr="00B75649">
              <w:rPr>
                <w:rStyle w:val="Lienhypertexte"/>
                <w:noProof/>
              </w:rPr>
              <w:t>4.3.2</w:t>
            </w:r>
            <w:r>
              <w:rPr>
                <w:rFonts w:cstheme="minorBidi"/>
                <w:smallCaps w:val="0"/>
                <w:noProof/>
              </w:rPr>
              <w:tab/>
            </w:r>
            <w:r w:rsidRPr="00B75649">
              <w:rPr>
                <w:rStyle w:val="Lienhypertexte"/>
                <w:noProof/>
              </w:rPr>
              <w:t>Le biogaz</w:t>
            </w:r>
            <w:r>
              <w:rPr>
                <w:noProof/>
                <w:webHidden/>
              </w:rPr>
              <w:tab/>
            </w:r>
            <w:r>
              <w:rPr>
                <w:noProof/>
                <w:webHidden/>
              </w:rPr>
              <w:fldChar w:fldCharType="begin"/>
            </w:r>
            <w:r>
              <w:rPr>
                <w:noProof/>
                <w:webHidden/>
              </w:rPr>
              <w:instrText xml:space="preserve"> PAGEREF _Toc129784734 \h </w:instrText>
            </w:r>
            <w:r>
              <w:rPr>
                <w:noProof/>
                <w:webHidden/>
              </w:rPr>
            </w:r>
            <w:r>
              <w:rPr>
                <w:noProof/>
                <w:webHidden/>
              </w:rPr>
              <w:fldChar w:fldCharType="separate"/>
            </w:r>
            <w:r>
              <w:rPr>
                <w:noProof/>
                <w:webHidden/>
              </w:rPr>
              <w:t>25</w:t>
            </w:r>
            <w:r>
              <w:rPr>
                <w:noProof/>
                <w:webHidden/>
              </w:rPr>
              <w:fldChar w:fldCharType="end"/>
            </w:r>
          </w:hyperlink>
        </w:p>
        <w:p w14:paraId="2625961C" w14:textId="3CA8FF5C" w:rsidR="00193B56" w:rsidRDefault="00193B56">
          <w:pPr>
            <w:pStyle w:val="TM3"/>
            <w:tabs>
              <w:tab w:val="left" w:pos="666"/>
              <w:tab w:val="right" w:leader="dot" w:pos="10196"/>
            </w:tabs>
            <w:rPr>
              <w:rFonts w:cstheme="minorBidi"/>
              <w:smallCaps w:val="0"/>
              <w:noProof/>
            </w:rPr>
          </w:pPr>
          <w:hyperlink w:anchor="_Toc129784735" w:history="1">
            <w:r w:rsidRPr="00B75649">
              <w:rPr>
                <w:rStyle w:val="Lienhypertexte"/>
                <w:noProof/>
              </w:rPr>
              <w:t>4.3.3</w:t>
            </w:r>
            <w:r>
              <w:rPr>
                <w:rFonts w:cstheme="minorBidi"/>
                <w:smallCaps w:val="0"/>
                <w:noProof/>
              </w:rPr>
              <w:tab/>
            </w:r>
            <w:r w:rsidRPr="00B75649">
              <w:rPr>
                <w:rStyle w:val="Lienhypertexte"/>
                <w:noProof/>
              </w:rPr>
              <w:t>La récupération de chaleur fatale</w:t>
            </w:r>
            <w:r>
              <w:rPr>
                <w:noProof/>
                <w:webHidden/>
              </w:rPr>
              <w:tab/>
            </w:r>
            <w:r>
              <w:rPr>
                <w:noProof/>
                <w:webHidden/>
              </w:rPr>
              <w:fldChar w:fldCharType="begin"/>
            </w:r>
            <w:r>
              <w:rPr>
                <w:noProof/>
                <w:webHidden/>
              </w:rPr>
              <w:instrText xml:space="preserve"> PAGEREF _Toc129784735 \h </w:instrText>
            </w:r>
            <w:r>
              <w:rPr>
                <w:noProof/>
                <w:webHidden/>
              </w:rPr>
            </w:r>
            <w:r>
              <w:rPr>
                <w:noProof/>
                <w:webHidden/>
              </w:rPr>
              <w:fldChar w:fldCharType="separate"/>
            </w:r>
            <w:r>
              <w:rPr>
                <w:noProof/>
                <w:webHidden/>
              </w:rPr>
              <w:t>25</w:t>
            </w:r>
            <w:r>
              <w:rPr>
                <w:noProof/>
                <w:webHidden/>
              </w:rPr>
              <w:fldChar w:fldCharType="end"/>
            </w:r>
          </w:hyperlink>
        </w:p>
        <w:p w14:paraId="0AFC7A6E" w14:textId="4D96F69B" w:rsidR="00193B56" w:rsidRDefault="00193B56">
          <w:pPr>
            <w:pStyle w:val="TM3"/>
            <w:tabs>
              <w:tab w:val="left" w:pos="666"/>
              <w:tab w:val="right" w:leader="dot" w:pos="10196"/>
            </w:tabs>
            <w:rPr>
              <w:rFonts w:cstheme="minorBidi"/>
              <w:smallCaps w:val="0"/>
              <w:noProof/>
            </w:rPr>
          </w:pPr>
          <w:hyperlink w:anchor="_Toc129784736" w:history="1">
            <w:r w:rsidRPr="00B75649">
              <w:rPr>
                <w:rStyle w:val="Lienhypertexte"/>
                <w:noProof/>
              </w:rPr>
              <w:t>4.3.4</w:t>
            </w:r>
            <w:r>
              <w:rPr>
                <w:rFonts w:cstheme="minorBidi"/>
                <w:smallCaps w:val="0"/>
                <w:noProof/>
              </w:rPr>
              <w:tab/>
            </w:r>
            <w:r w:rsidRPr="00B75649">
              <w:rPr>
                <w:rStyle w:val="Lienhypertexte"/>
                <w:noProof/>
              </w:rPr>
              <w:t>Les pompes à chaleur aérothermiques</w:t>
            </w:r>
            <w:r>
              <w:rPr>
                <w:noProof/>
                <w:webHidden/>
              </w:rPr>
              <w:tab/>
            </w:r>
            <w:r>
              <w:rPr>
                <w:noProof/>
                <w:webHidden/>
              </w:rPr>
              <w:fldChar w:fldCharType="begin"/>
            </w:r>
            <w:r>
              <w:rPr>
                <w:noProof/>
                <w:webHidden/>
              </w:rPr>
              <w:instrText xml:space="preserve"> PAGEREF _Toc129784736 \h </w:instrText>
            </w:r>
            <w:r>
              <w:rPr>
                <w:noProof/>
                <w:webHidden/>
              </w:rPr>
            </w:r>
            <w:r>
              <w:rPr>
                <w:noProof/>
                <w:webHidden/>
              </w:rPr>
              <w:fldChar w:fldCharType="separate"/>
            </w:r>
            <w:r>
              <w:rPr>
                <w:noProof/>
                <w:webHidden/>
              </w:rPr>
              <w:t>26</w:t>
            </w:r>
            <w:r>
              <w:rPr>
                <w:noProof/>
                <w:webHidden/>
              </w:rPr>
              <w:fldChar w:fldCharType="end"/>
            </w:r>
          </w:hyperlink>
        </w:p>
        <w:p w14:paraId="12F181AA" w14:textId="12E8064C" w:rsidR="00193B56" w:rsidRDefault="00193B56">
          <w:pPr>
            <w:pStyle w:val="TM2"/>
            <w:tabs>
              <w:tab w:val="left" w:pos="502"/>
              <w:tab w:val="right" w:leader="dot" w:pos="10196"/>
            </w:tabs>
            <w:rPr>
              <w:rFonts w:cstheme="minorBidi"/>
              <w:b w:val="0"/>
              <w:bCs w:val="0"/>
              <w:smallCaps w:val="0"/>
              <w:noProof/>
            </w:rPr>
          </w:pPr>
          <w:hyperlink w:anchor="_Toc129784737" w:history="1">
            <w:r w:rsidRPr="00B75649">
              <w:rPr>
                <w:rStyle w:val="Lienhypertexte"/>
                <w:noProof/>
              </w:rPr>
              <w:t>4.4</w:t>
            </w:r>
            <w:r>
              <w:rPr>
                <w:rFonts w:cstheme="minorBidi"/>
                <w:b w:val="0"/>
                <w:bCs w:val="0"/>
                <w:smallCaps w:val="0"/>
                <w:noProof/>
              </w:rPr>
              <w:tab/>
            </w:r>
            <w:r w:rsidRPr="00B75649">
              <w:rPr>
                <w:rStyle w:val="Lienhypertexte"/>
                <w:noProof/>
              </w:rPr>
              <w:t>Bilan des productions d’énergie renouvelable existantes</w:t>
            </w:r>
            <w:r>
              <w:rPr>
                <w:noProof/>
                <w:webHidden/>
              </w:rPr>
              <w:tab/>
            </w:r>
            <w:r>
              <w:rPr>
                <w:noProof/>
                <w:webHidden/>
              </w:rPr>
              <w:fldChar w:fldCharType="begin"/>
            </w:r>
            <w:r>
              <w:rPr>
                <w:noProof/>
                <w:webHidden/>
              </w:rPr>
              <w:instrText xml:space="preserve"> PAGEREF _Toc129784737 \h </w:instrText>
            </w:r>
            <w:r>
              <w:rPr>
                <w:noProof/>
                <w:webHidden/>
              </w:rPr>
            </w:r>
            <w:r>
              <w:rPr>
                <w:noProof/>
                <w:webHidden/>
              </w:rPr>
              <w:fldChar w:fldCharType="separate"/>
            </w:r>
            <w:r>
              <w:rPr>
                <w:noProof/>
                <w:webHidden/>
              </w:rPr>
              <w:t>27</w:t>
            </w:r>
            <w:r>
              <w:rPr>
                <w:noProof/>
                <w:webHidden/>
              </w:rPr>
              <w:fldChar w:fldCharType="end"/>
            </w:r>
          </w:hyperlink>
        </w:p>
        <w:p w14:paraId="560816F8" w14:textId="57E41E01" w:rsidR="00193B56" w:rsidRDefault="00193B56">
          <w:pPr>
            <w:pStyle w:val="TM1"/>
            <w:tabs>
              <w:tab w:val="left" w:pos="332"/>
              <w:tab w:val="right" w:leader="dot" w:pos="10196"/>
            </w:tabs>
            <w:rPr>
              <w:rFonts w:cstheme="minorBidi"/>
              <w:b w:val="0"/>
              <w:bCs w:val="0"/>
              <w:caps w:val="0"/>
              <w:noProof/>
              <w:u w:val="none"/>
            </w:rPr>
          </w:pPr>
          <w:hyperlink w:anchor="_Toc129784738" w:history="1">
            <w:r w:rsidRPr="00B75649">
              <w:rPr>
                <w:rStyle w:val="Lienhypertexte"/>
                <w:noProof/>
              </w:rPr>
              <w:t>5</w:t>
            </w:r>
            <w:r>
              <w:rPr>
                <w:rFonts w:cstheme="minorBidi"/>
                <w:b w:val="0"/>
                <w:bCs w:val="0"/>
                <w:caps w:val="0"/>
                <w:noProof/>
                <w:u w:val="none"/>
              </w:rPr>
              <w:tab/>
            </w:r>
            <w:r w:rsidRPr="00B75649">
              <w:rPr>
                <w:rStyle w:val="Lienhypertexte"/>
                <w:noProof/>
              </w:rPr>
              <w:t>Conclusion de l’état des lieux</w:t>
            </w:r>
            <w:r>
              <w:rPr>
                <w:noProof/>
                <w:webHidden/>
              </w:rPr>
              <w:tab/>
            </w:r>
            <w:r>
              <w:rPr>
                <w:noProof/>
                <w:webHidden/>
              </w:rPr>
              <w:fldChar w:fldCharType="begin"/>
            </w:r>
            <w:r>
              <w:rPr>
                <w:noProof/>
                <w:webHidden/>
              </w:rPr>
              <w:instrText xml:space="preserve"> PAGEREF _Toc129784738 \h </w:instrText>
            </w:r>
            <w:r>
              <w:rPr>
                <w:noProof/>
                <w:webHidden/>
              </w:rPr>
            </w:r>
            <w:r>
              <w:rPr>
                <w:noProof/>
                <w:webHidden/>
              </w:rPr>
              <w:fldChar w:fldCharType="separate"/>
            </w:r>
            <w:r>
              <w:rPr>
                <w:noProof/>
                <w:webHidden/>
              </w:rPr>
              <w:t>27</w:t>
            </w:r>
            <w:r>
              <w:rPr>
                <w:noProof/>
                <w:webHidden/>
              </w:rPr>
              <w:fldChar w:fldCharType="end"/>
            </w:r>
          </w:hyperlink>
        </w:p>
        <w:p w14:paraId="0F661B7D" w14:textId="251BA2E1" w:rsidR="00193B56" w:rsidRDefault="00193B56">
          <w:pPr>
            <w:pStyle w:val="TM2"/>
            <w:tabs>
              <w:tab w:val="left" w:pos="502"/>
              <w:tab w:val="right" w:leader="dot" w:pos="10196"/>
            </w:tabs>
            <w:rPr>
              <w:rFonts w:cstheme="minorBidi"/>
              <w:b w:val="0"/>
              <w:bCs w:val="0"/>
              <w:smallCaps w:val="0"/>
              <w:noProof/>
            </w:rPr>
          </w:pPr>
          <w:hyperlink w:anchor="_Toc129784739" w:history="1">
            <w:r w:rsidRPr="00B75649">
              <w:rPr>
                <w:rStyle w:val="Lienhypertexte"/>
                <w:noProof/>
              </w:rPr>
              <w:t>5.1</w:t>
            </w:r>
            <w:r>
              <w:rPr>
                <w:rFonts w:cstheme="minorBidi"/>
                <w:b w:val="0"/>
                <w:bCs w:val="0"/>
                <w:smallCaps w:val="0"/>
                <w:noProof/>
              </w:rPr>
              <w:tab/>
            </w:r>
            <w:r w:rsidRPr="00B75649">
              <w:rPr>
                <w:rStyle w:val="Lienhypertexte"/>
                <w:noProof/>
              </w:rPr>
              <w:t>Autonomie</w:t>
            </w:r>
            <w:r>
              <w:rPr>
                <w:noProof/>
                <w:webHidden/>
              </w:rPr>
              <w:tab/>
            </w:r>
            <w:r>
              <w:rPr>
                <w:noProof/>
                <w:webHidden/>
              </w:rPr>
              <w:fldChar w:fldCharType="begin"/>
            </w:r>
            <w:r>
              <w:rPr>
                <w:noProof/>
                <w:webHidden/>
              </w:rPr>
              <w:instrText xml:space="preserve"> PAGEREF _Toc129784739 \h </w:instrText>
            </w:r>
            <w:r>
              <w:rPr>
                <w:noProof/>
                <w:webHidden/>
              </w:rPr>
            </w:r>
            <w:r>
              <w:rPr>
                <w:noProof/>
                <w:webHidden/>
              </w:rPr>
              <w:fldChar w:fldCharType="separate"/>
            </w:r>
            <w:r>
              <w:rPr>
                <w:noProof/>
                <w:webHidden/>
              </w:rPr>
              <w:t>27</w:t>
            </w:r>
            <w:r>
              <w:rPr>
                <w:noProof/>
                <w:webHidden/>
              </w:rPr>
              <w:fldChar w:fldCharType="end"/>
            </w:r>
          </w:hyperlink>
        </w:p>
        <w:p w14:paraId="5B393365" w14:textId="4F1622E2" w:rsidR="00193B56" w:rsidRDefault="00193B56">
          <w:pPr>
            <w:pStyle w:val="TM3"/>
            <w:tabs>
              <w:tab w:val="left" w:pos="666"/>
              <w:tab w:val="right" w:leader="dot" w:pos="10196"/>
            </w:tabs>
            <w:rPr>
              <w:rFonts w:cstheme="minorBidi"/>
              <w:smallCaps w:val="0"/>
              <w:noProof/>
            </w:rPr>
          </w:pPr>
          <w:hyperlink w:anchor="_Toc129784740" w:history="1">
            <w:r w:rsidRPr="00B75649">
              <w:rPr>
                <w:rStyle w:val="Lienhypertexte"/>
                <w:noProof/>
              </w:rPr>
              <w:t>5.1.1</w:t>
            </w:r>
            <w:r>
              <w:rPr>
                <w:rFonts w:cstheme="minorBidi"/>
                <w:smallCaps w:val="0"/>
                <w:noProof/>
              </w:rPr>
              <w:tab/>
            </w:r>
            <w:r w:rsidRPr="00B75649">
              <w:rPr>
                <w:rStyle w:val="Lienhypertexte"/>
                <w:noProof/>
              </w:rPr>
              <w:t>Autonomie électrique</w:t>
            </w:r>
            <w:r>
              <w:rPr>
                <w:noProof/>
                <w:webHidden/>
              </w:rPr>
              <w:tab/>
            </w:r>
            <w:r>
              <w:rPr>
                <w:noProof/>
                <w:webHidden/>
              </w:rPr>
              <w:fldChar w:fldCharType="begin"/>
            </w:r>
            <w:r>
              <w:rPr>
                <w:noProof/>
                <w:webHidden/>
              </w:rPr>
              <w:instrText xml:space="preserve"> PAGEREF _Toc129784740 \h </w:instrText>
            </w:r>
            <w:r>
              <w:rPr>
                <w:noProof/>
                <w:webHidden/>
              </w:rPr>
            </w:r>
            <w:r>
              <w:rPr>
                <w:noProof/>
                <w:webHidden/>
              </w:rPr>
              <w:fldChar w:fldCharType="separate"/>
            </w:r>
            <w:r>
              <w:rPr>
                <w:noProof/>
                <w:webHidden/>
              </w:rPr>
              <w:t>27</w:t>
            </w:r>
            <w:r>
              <w:rPr>
                <w:noProof/>
                <w:webHidden/>
              </w:rPr>
              <w:fldChar w:fldCharType="end"/>
            </w:r>
          </w:hyperlink>
        </w:p>
        <w:p w14:paraId="3C75913E" w14:textId="5997491C" w:rsidR="00193B56" w:rsidRDefault="00193B56">
          <w:pPr>
            <w:pStyle w:val="TM3"/>
            <w:tabs>
              <w:tab w:val="left" w:pos="666"/>
              <w:tab w:val="right" w:leader="dot" w:pos="10196"/>
            </w:tabs>
            <w:rPr>
              <w:rFonts w:cstheme="minorBidi"/>
              <w:smallCaps w:val="0"/>
              <w:noProof/>
            </w:rPr>
          </w:pPr>
          <w:hyperlink w:anchor="_Toc129784741" w:history="1">
            <w:r w:rsidRPr="00B75649">
              <w:rPr>
                <w:rStyle w:val="Lienhypertexte"/>
                <w:noProof/>
              </w:rPr>
              <w:t>5.1.2</w:t>
            </w:r>
            <w:r>
              <w:rPr>
                <w:rFonts w:cstheme="minorBidi"/>
                <w:smallCaps w:val="0"/>
                <w:noProof/>
              </w:rPr>
              <w:tab/>
            </w:r>
            <w:r w:rsidRPr="00B75649">
              <w:rPr>
                <w:rStyle w:val="Lienhypertexte"/>
                <w:noProof/>
              </w:rPr>
              <w:t>Autonomie en chaleur</w:t>
            </w:r>
            <w:r>
              <w:rPr>
                <w:noProof/>
                <w:webHidden/>
              </w:rPr>
              <w:tab/>
            </w:r>
            <w:r>
              <w:rPr>
                <w:noProof/>
                <w:webHidden/>
              </w:rPr>
              <w:fldChar w:fldCharType="begin"/>
            </w:r>
            <w:r>
              <w:rPr>
                <w:noProof/>
                <w:webHidden/>
              </w:rPr>
              <w:instrText xml:space="preserve"> PAGEREF _Toc129784741 \h </w:instrText>
            </w:r>
            <w:r>
              <w:rPr>
                <w:noProof/>
                <w:webHidden/>
              </w:rPr>
            </w:r>
            <w:r>
              <w:rPr>
                <w:noProof/>
                <w:webHidden/>
              </w:rPr>
              <w:fldChar w:fldCharType="separate"/>
            </w:r>
            <w:r>
              <w:rPr>
                <w:noProof/>
                <w:webHidden/>
              </w:rPr>
              <w:t>27</w:t>
            </w:r>
            <w:r>
              <w:rPr>
                <w:noProof/>
                <w:webHidden/>
              </w:rPr>
              <w:fldChar w:fldCharType="end"/>
            </w:r>
          </w:hyperlink>
        </w:p>
        <w:p w14:paraId="0551D26A" w14:textId="77E0E746" w:rsidR="00193B56" w:rsidRDefault="00193B56">
          <w:pPr>
            <w:pStyle w:val="TM3"/>
            <w:tabs>
              <w:tab w:val="left" w:pos="666"/>
              <w:tab w:val="right" w:leader="dot" w:pos="10196"/>
            </w:tabs>
            <w:rPr>
              <w:rFonts w:cstheme="minorBidi"/>
              <w:smallCaps w:val="0"/>
              <w:noProof/>
            </w:rPr>
          </w:pPr>
          <w:hyperlink w:anchor="_Toc129784742" w:history="1">
            <w:r w:rsidRPr="00B75649">
              <w:rPr>
                <w:rStyle w:val="Lienhypertexte"/>
                <w:noProof/>
              </w:rPr>
              <w:t>5.1.3</w:t>
            </w:r>
            <w:r>
              <w:rPr>
                <w:rFonts w:cstheme="minorBidi"/>
                <w:smallCaps w:val="0"/>
                <w:noProof/>
              </w:rPr>
              <w:tab/>
            </w:r>
            <w:r w:rsidRPr="00B75649">
              <w:rPr>
                <w:rStyle w:val="Lienhypertexte"/>
                <w:noProof/>
              </w:rPr>
              <w:t>Autonomie globale</w:t>
            </w:r>
            <w:r>
              <w:rPr>
                <w:noProof/>
                <w:webHidden/>
              </w:rPr>
              <w:tab/>
            </w:r>
            <w:r>
              <w:rPr>
                <w:noProof/>
                <w:webHidden/>
              </w:rPr>
              <w:fldChar w:fldCharType="begin"/>
            </w:r>
            <w:r>
              <w:rPr>
                <w:noProof/>
                <w:webHidden/>
              </w:rPr>
              <w:instrText xml:space="preserve"> PAGEREF _Toc129784742 \h </w:instrText>
            </w:r>
            <w:r>
              <w:rPr>
                <w:noProof/>
                <w:webHidden/>
              </w:rPr>
            </w:r>
            <w:r>
              <w:rPr>
                <w:noProof/>
                <w:webHidden/>
              </w:rPr>
              <w:fldChar w:fldCharType="separate"/>
            </w:r>
            <w:r>
              <w:rPr>
                <w:noProof/>
                <w:webHidden/>
              </w:rPr>
              <w:t>28</w:t>
            </w:r>
            <w:r>
              <w:rPr>
                <w:noProof/>
                <w:webHidden/>
              </w:rPr>
              <w:fldChar w:fldCharType="end"/>
            </w:r>
          </w:hyperlink>
        </w:p>
        <w:p w14:paraId="2F01ECA6" w14:textId="14F4C2EF" w:rsidR="00193B56" w:rsidRDefault="00193B56">
          <w:pPr>
            <w:pStyle w:val="TM2"/>
            <w:tabs>
              <w:tab w:val="left" w:pos="502"/>
              <w:tab w:val="right" w:leader="dot" w:pos="10196"/>
            </w:tabs>
            <w:rPr>
              <w:rFonts w:cstheme="minorBidi"/>
              <w:b w:val="0"/>
              <w:bCs w:val="0"/>
              <w:smallCaps w:val="0"/>
              <w:noProof/>
            </w:rPr>
          </w:pPr>
          <w:hyperlink w:anchor="_Toc129784743" w:history="1">
            <w:r w:rsidRPr="00B75649">
              <w:rPr>
                <w:rStyle w:val="Lienhypertexte"/>
                <w:noProof/>
              </w:rPr>
              <w:t>5.2</w:t>
            </w:r>
            <w:r>
              <w:rPr>
                <w:rFonts w:cstheme="minorBidi"/>
                <w:b w:val="0"/>
                <w:bCs w:val="0"/>
                <w:smallCaps w:val="0"/>
                <w:noProof/>
              </w:rPr>
              <w:tab/>
            </w:r>
            <w:r w:rsidRPr="00B75649">
              <w:rPr>
                <w:rStyle w:val="Lienhypertexte"/>
                <w:noProof/>
              </w:rPr>
              <w:t>Facture énergétique</w:t>
            </w:r>
            <w:r>
              <w:rPr>
                <w:noProof/>
                <w:webHidden/>
              </w:rPr>
              <w:tab/>
            </w:r>
            <w:r>
              <w:rPr>
                <w:noProof/>
                <w:webHidden/>
              </w:rPr>
              <w:fldChar w:fldCharType="begin"/>
            </w:r>
            <w:r>
              <w:rPr>
                <w:noProof/>
                <w:webHidden/>
              </w:rPr>
              <w:instrText xml:space="preserve"> PAGEREF _Toc129784743 \h </w:instrText>
            </w:r>
            <w:r>
              <w:rPr>
                <w:noProof/>
                <w:webHidden/>
              </w:rPr>
            </w:r>
            <w:r>
              <w:rPr>
                <w:noProof/>
                <w:webHidden/>
              </w:rPr>
              <w:fldChar w:fldCharType="separate"/>
            </w:r>
            <w:r>
              <w:rPr>
                <w:noProof/>
                <w:webHidden/>
              </w:rPr>
              <w:t>28</w:t>
            </w:r>
            <w:r>
              <w:rPr>
                <w:noProof/>
                <w:webHidden/>
              </w:rPr>
              <w:fldChar w:fldCharType="end"/>
            </w:r>
          </w:hyperlink>
        </w:p>
        <w:p w14:paraId="77E0625C" w14:textId="429C4818" w:rsidR="00193B56" w:rsidRDefault="00193B56">
          <w:pPr>
            <w:pStyle w:val="TM2"/>
            <w:tabs>
              <w:tab w:val="left" w:pos="502"/>
              <w:tab w:val="right" w:leader="dot" w:pos="10196"/>
            </w:tabs>
            <w:rPr>
              <w:rFonts w:cstheme="minorBidi"/>
              <w:b w:val="0"/>
              <w:bCs w:val="0"/>
              <w:smallCaps w:val="0"/>
              <w:noProof/>
            </w:rPr>
          </w:pPr>
          <w:hyperlink w:anchor="_Toc129784744" w:history="1">
            <w:r w:rsidRPr="00B75649">
              <w:rPr>
                <w:rStyle w:val="Lienhypertexte"/>
                <w:noProof/>
              </w:rPr>
              <w:t>5.3</w:t>
            </w:r>
            <w:r>
              <w:rPr>
                <w:rFonts w:cstheme="minorBidi"/>
                <w:b w:val="0"/>
                <w:bCs w:val="0"/>
                <w:smallCaps w:val="0"/>
                <w:noProof/>
              </w:rPr>
              <w:tab/>
            </w:r>
            <w:r w:rsidRPr="00B75649">
              <w:rPr>
                <w:rStyle w:val="Lienhypertexte"/>
                <w:noProof/>
              </w:rPr>
              <w:t>Emploi, part d’EnR&amp;R et GES évités sur le territoire</w:t>
            </w:r>
            <w:r>
              <w:rPr>
                <w:noProof/>
                <w:webHidden/>
              </w:rPr>
              <w:tab/>
            </w:r>
            <w:r>
              <w:rPr>
                <w:noProof/>
                <w:webHidden/>
              </w:rPr>
              <w:fldChar w:fldCharType="begin"/>
            </w:r>
            <w:r>
              <w:rPr>
                <w:noProof/>
                <w:webHidden/>
              </w:rPr>
              <w:instrText xml:space="preserve"> PAGEREF _Toc129784744 \h </w:instrText>
            </w:r>
            <w:r>
              <w:rPr>
                <w:noProof/>
                <w:webHidden/>
              </w:rPr>
            </w:r>
            <w:r>
              <w:rPr>
                <w:noProof/>
                <w:webHidden/>
              </w:rPr>
              <w:fldChar w:fldCharType="separate"/>
            </w:r>
            <w:r>
              <w:rPr>
                <w:noProof/>
                <w:webHidden/>
              </w:rPr>
              <w:t>29</w:t>
            </w:r>
            <w:r>
              <w:rPr>
                <w:noProof/>
                <w:webHidden/>
              </w:rPr>
              <w:fldChar w:fldCharType="end"/>
            </w:r>
          </w:hyperlink>
        </w:p>
        <w:p w14:paraId="762A5D41" w14:textId="6A4C1BDC" w:rsidR="00193B56" w:rsidRDefault="00193B56">
          <w:pPr>
            <w:pStyle w:val="TM3"/>
            <w:tabs>
              <w:tab w:val="left" w:pos="666"/>
              <w:tab w:val="right" w:leader="dot" w:pos="10196"/>
            </w:tabs>
            <w:rPr>
              <w:rFonts w:cstheme="minorBidi"/>
              <w:smallCaps w:val="0"/>
              <w:noProof/>
            </w:rPr>
          </w:pPr>
          <w:hyperlink w:anchor="_Toc129784745" w:history="1">
            <w:r w:rsidRPr="00B75649">
              <w:rPr>
                <w:rStyle w:val="Lienhypertexte"/>
                <w:noProof/>
              </w:rPr>
              <w:t>5.3.1</w:t>
            </w:r>
            <w:r>
              <w:rPr>
                <w:rFonts w:cstheme="minorBidi"/>
                <w:smallCaps w:val="0"/>
                <w:noProof/>
              </w:rPr>
              <w:tab/>
            </w:r>
            <w:r w:rsidRPr="00B75649">
              <w:rPr>
                <w:rStyle w:val="Lienhypertexte"/>
                <w:noProof/>
              </w:rPr>
              <w:t>Estimation des emplois générés</w:t>
            </w:r>
            <w:r>
              <w:rPr>
                <w:noProof/>
                <w:webHidden/>
              </w:rPr>
              <w:tab/>
            </w:r>
            <w:r>
              <w:rPr>
                <w:noProof/>
                <w:webHidden/>
              </w:rPr>
              <w:fldChar w:fldCharType="begin"/>
            </w:r>
            <w:r>
              <w:rPr>
                <w:noProof/>
                <w:webHidden/>
              </w:rPr>
              <w:instrText xml:space="preserve"> PAGEREF _Toc129784745 \h </w:instrText>
            </w:r>
            <w:r>
              <w:rPr>
                <w:noProof/>
                <w:webHidden/>
              </w:rPr>
            </w:r>
            <w:r>
              <w:rPr>
                <w:noProof/>
                <w:webHidden/>
              </w:rPr>
              <w:fldChar w:fldCharType="separate"/>
            </w:r>
            <w:r>
              <w:rPr>
                <w:noProof/>
                <w:webHidden/>
              </w:rPr>
              <w:t>29</w:t>
            </w:r>
            <w:r>
              <w:rPr>
                <w:noProof/>
                <w:webHidden/>
              </w:rPr>
              <w:fldChar w:fldCharType="end"/>
            </w:r>
          </w:hyperlink>
        </w:p>
        <w:p w14:paraId="52486DF0" w14:textId="1B4649BA" w:rsidR="00193B56" w:rsidRDefault="00193B56">
          <w:pPr>
            <w:pStyle w:val="TM3"/>
            <w:tabs>
              <w:tab w:val="left" w:pos="666"/>
              <w:tab w:val="right" w:leader="dot" w:pos="10196"/>
            </w:tabs>
            <w:rPr>
              <w:rFonts w:cstheme="minorBidi"/>
              <w:smallCaps w:val="0"/>
              <w:noProof/>
            </w:rPr>
          </w:pPr>
          <w:hyperlink w:anchor="_Toc129784746" w:history="1">
            <w:r w:rsidRPr="00B75649">
              <w:rPr>
                <w:rStyle w:val="Lienhypertexte"/>
                <w:noProof/>
              </w:rPr>
              <w:t>5.3.2</w:t>
            </w:r>
            <w:r>
              <w:rPr>
                <w:rFonts w:cstheme="minorBidi"/>
                <w:smallCaps w:val="0"/>
                <w:noProof/>
              </w:rPr>
              <w:tab/>
            </w:r>
            <w:r w:rsidRPr="00B75649">
              <w:rPr>
                <w:rStyle w:val="Lienhypertexte"/>
                <w:noProof/>
              </w:rPr>
              <w:t>Gaz à effet de serre évités</w:t>
            </w:r>
            <w:r>
              <w:rPr>
                <w:noProof/>
                <w:webHidden/>
              </w:rPr>
              <w:tab/>
            </w:r>
            <w:r>
              <w:rPr>
                <w:noProof/>
                <w:webHidden/>
              </w:rPr>
              <w:fldChar w:fldCharType="begin"/>
            </w:r>
            <w:r>
              <w:rPr>
                <w:noProof/>
                <w:webHidden/>
              </w:rPr>
              <w:instrText xml:space="preserve"> PAGEREF _Toc129784746 \h </w:instrText>
            </w:r>
            <w:r>
              <w:rPr>
                <w:noProof/>
                <w:webHidden/>
              </w:rPr>
            </w:r>
            <w:r>
              <w:rPr>
                <w:noProof/>
                <w:webHidden/>
              </w:rPr>
              <w:fldChar w:fldCharType="separate"/>
            </w:r>
            <w:r>
              <w:rPr>
                <w:noProof/>
                <w:webHidden/>
              </w:rPr>
              <w:t>30</w:t>
            </w:r>
            <w:r>
              <w:rPr>
                <w:noProof/>
                <w:webHidden/>
              </w:rPr>
              <w:fldChar w:fldCharType="end"/>
            </w:r>
          </w:hyperlink>
        </w:p>
        <w:p w14:paraId="3FAE7C9C" w14:textId="55015D12" w:rsidR="00193B56" w:rsidRDefault="00193B56">
          <w:pPr>
            <w:pStyle w:val="TM1"/>
            <w:tabs>
              <w:tab w:val="left" w:pos="332"/>
              <w:tab w:val="right" w:leader="dot" w:pos="10196"/>
            </w:tabs>
            <w:rPr>
              <w:rFonts w:cstheme="minorBidi"/>
              <w:b w:val="0"/>
              <w:bCs w:val="0"/>
              <w:caps w:val="0"/>
              <w:noProof/>
              <w:u w:val="none"/>
            </w:rPr>
          </w:pPr>
          <w:hyperlink w:anchor="_Toc129784747" w:history="1">
            <w:r w:rsidRPr="00B75649">
              <w:rPr>
                <w:rStyle w:val="Lienhypertexte"/>
                <w:noProof/>
              </w:rPr>
              <w:t>6</w:t>
            </w:r>
            <w:r>
              <w:rPr>
                <w:rFonts w:cstheme="minorBidi"/>
                <w:b w:val="0"/>
                <w:bCs w:val="0"/>
                <w:caps w:val="0"/>
                <w:noProof/>
                <w:u w:val="none"/>
              </w:rPr>
              <w:tab/>
            </w:r>
            <w:r w:rsidRPr="00B75649">
              <w:rPr>
                <w:rStyle w:val="Lienhypertexte"/>
                <w:noProof/>
              </w:rPr>
              <w:t>Potentiel de développement des énergies renouvelables et de récupération sur le territoire</w:t>
            </w:r>
            <w:r>
              <w:rPr>
                <w:noProof/>
                <w:webHidden/>
              </w:rPr>
              <w:tab/>
            </w:r>
            <w:r>
              <w:rPr>
                <w:noProof/>
                <w:webHidden/>
              </w:rPr>
              <w:fldChar w:fldCharType="begin"/>
            </w:r>
            <w:r>
              <w:rPr>
                <w:noProof/>
                <w:webHidden/>
              </w:rPr>
              <w:instrText xml:space="preserve"> PAGEREF _Toc129784747 \h </w:instrText>
            </w:r>
            <w:r>
              <w:rPr>
                <w:noProof/>
                <w:webHidden/>
              </w:rPr>
            </w:r>
            <w:r>
              <w:rPr>
                <w:noProof/>
                <w:webHidden/>
              </w:rPr>
              <w:fldChar w:fldCharType="separate"/>
            </w:r>
            <w:r>
              <w:rPr>
                <w:noProof/>
                <w:webHidden/>
              </w:rPr>
              <w:t>32</w:t>
            </w:r>
            <w:r>
              <w:rPr>
                <w:noProof/>
                <w:webHidden/>
              </w:rPr>
              <w:fldChar w:fldCharType="end"/>
            </w:r>
          </w:hyperlink>
        </w:p>
        <w:p w14:paraId="23EF4025" w14:textId="3B4062C4" w:rsidR="00193B56" w:rsidRDefault="00193B56">
          <w:pPr>
            <w:pStyle w:val="TM2"/>
            <w:tabs>
              <w:tab w:val="left" w:pos="502"/>
              <w:tab w:val="right" w:leader="dot" w:pos="10196"/>
            </w:tabs>
            <w:rPr>
              <w:rFonts w:cstheme="minorBidi"/>
              <w:b w:val="0"/>
              <w:bCs w:val="0"/>
              <w:smallCaps w:val="0"/>
              <w:noProof/>
            </w:rPr>
          </w:pPr>
          <w:hyperlink w:anchor="_Toc129784748" w:history="1">
            <w:r w:rsidRPr="00B75649">
              <w:rPr>
                <w:rStyle w:val="Lienhypertexte"/>
                <w:noProof/>
              </w:rPr>
              <w:t>6.1</w:t>
            </w:r>
            <w:r>
              <w:rPr>
                <w:rFonts w:cstheme="minorBidi"/>
                <w:b w:val="0"/>
                <w:bCs w:val="0"/>
                <w:smallCaps w:val="0"/>
                <w:noProof/>
              </w:rPr>
              <w:tab/>
            </w:r>
            <w:r w:rsidRPr="00B75649">
              <w:rPr>
                <w:rStyle w:val="Lienhypertexte"/>
                <w:noProof/>
              </w:rPr>
              <w:t>Production d’électricité renouvelable</w:t>
            </w:r>
            <w:r>
              <w:rPr>
                <w:noProof/>
                <w:webHidden/>
              </w:rPr>
              <w:tab/>
            </w:r>
            <w:r>
              <w:rPr>
                <w:noProof/>
                <w:webHidden/>
              </w:rPr>
              <w:fldChar w:fldCharType="begin"/>
            </w:r>
            <w:r>
              <w:rPr>
                <w:noProof/>
                <w:webHidden/>
              </w:rPr>
              <w:instrText xml:space="preserve"> PAGEREF _Toc129784748 \h </w:instrText>
            </w:r>
            <w:r>
              <w:rPr>
                <w:noProof/>
                <w:webHidden/>
              </w:rPr>
            </w:r>
            <w:r>
              <w:rPr>
                <w:noProof/>
                <w:webHidden/>
              </w:rPr>
              <w:fldChar w:fldCharType="separate"/>
            </w:r>
            <w:r>
              <w:rPr>
                <w:noProof/>
                <w:webHidden/>
              </w:rPr>
              <w:t>32</w:t>
            </w:r>
            <w:r>
              <w:rPr>
                <w:noProof/>
                <w:webHidden/>
              </w:rPr>
              <w:fldChar w:fldCharType="end"/>
            </w:r>
          </w:hyperlink>
        </w:p>
        <w:p w14:paraId="2C7C8C42" w14:textId="6EEAF921" w:rsidR="00193B56" w:rsidRDefault="00193B56">
          <w:pPr>
            <w:pStyle w:val="TM3"/>
            <w:tabs>
              <w:tab w:val="left" w:pos="666"/>
              <w:tab w:val="right" w:leader="dot" w:pos="10196"/>
            </w:tabs>
            <w:rPr>
              <w:rFonts w:cstheme="minorBidi"/>
              <w:smallCaps w:val="0"/>
              <w:noProof/>
            </w:rPr>
          </w:pPr>
          <w:hyperlink w:anchor="_Toc129784749" w:history="1">
            <w:r w:rsidRPr="00B75649">
              <w:rPr>
                <w:rStyle w:val="Lienhypertexte"/>
                <w:noProof/>
              </w:rPr>
              <w:t>6.1.1</w:t>
            </w:r>
            <w:r>
              <w:rPr>
                <w:rFonts w:cstheme="minorBidi"/>
                <w:smallCaps w:val="0"/>
                <w:noProof/>
              </w:rPr>
              <w:tab/>
            </w:r>
            <w:r w:rsidRPr="00B75649">
              <w:rPr>
                <w:rStyle w:val="Lienhypertexte"/>
                <w:noProof/>
              </w:rPr>
              <w:t>L’éolien</w:t>
            </w:r>
            <w:r>
              <w:rPr>
                <w:noProof/>
                <w:webHidden/>
              </w:rPr>
              <w:tab/>
            </w:r>
            <w:r>
              <w:rPr>
                <w:noProof/>
                <w:webHidden/>
              </w:rPr>
              <w:fldChar w:fldCharType="begin"/>
            </w:r>
            <w:r>
              <w:rPr>
                <w:noProof/>
                <w:webHidden/>
              </w:rPr>
              <w:instrText xml:space="preserve"> PAGEREF _Toc129784749 \h </w:instrText>
            </w:r>
            <w:r>
              <w:rPr>
                <w:noProof/>
                <w:webHidden/>
              </w:rPr>
            </w:r>
            <w:r>
              <w:rPr>
                <w:noProof/>
                <w:webHidden/>
              </w:rPr>
              <w:fldChar w:fldCharType="separate"/>
            </w:r>
            <w:r>
              <w:rPr>
                <w:noProof/>
                <w:webHidden/>
              </w:rPr>
              <w:t>32</w:t>
            </w:r>
            <w:r>
              <w:rPr>
                <w:noProof/>
                <w:webHidden/>
              </w:rPr>
              <w:fldChar w:fldCharType="end"/>
            </w:r>
          </w:hyperlink>
        </w:p>
        <w:p w14:paraId="411D7806" w14:textId="35936A6C" w:rsidR="00193B56" w:rsidRDefault="00193B56">
          <w:pPr>
            <w:pStyle w:val="TM3"/>
            <w:tabs>
              <w:tab w:val="left" w:pos="666"/>
              <w:tab w:val="right" w:leader="dot" w:pos="10196"/>
            </w:tabs>
            <w:rPr>
              <w:rFonts w:cstheme="minorBidi"/>
              <w:smallCaps w:val="0"/>
              <w:noProof/>
            </w:rPr>
          </w:pPr>
          <w:hyperlink w:anchor="_Toc129784750" w:history="1">
            <w:r w:rsidRPr="00B75649">
              <w:rPr>
                <w:rStyle w:val="Lienhypertexte"/>
                <w:noProof/>
              </w:rPr>
              <w:t>6.1.2</w:t>
            </w:r>
            <w:r>
              <w:rPr>
                <w:rFonts w:cstheme="minorBidi"/>
                <w:smallCaps w:val="0"/>
                <w:noProof/>
              </w:rPr>
              <w:tab/>
            </w:r>
            <w:r w:rsidRPr="00B75649">
              <w:rPr>
                <w:rStyle w:val="Lienhypertexte"/>
                <w:noProof/>
              </w:rPr>
              <w:t>Le solaire photovoltaïque</w:t>
            </w:r>
            <w:r>
              <w:rPr>
                <w:noProof/>
                <w:webHidden/>
              </w:rPr>
              <w:tab/>
            </w:r>
            <w:r>
              <w:rPr>
                <w:noProof/>
                <w:webHidden/>
              </w:rPr>
              <w:fldChar w:fldCharType="begin"/>
            </w:r>
            <w:r>
              <w:rPr>
                <w:noProof/>
                <w:webHidden/>
              </w:rPr>
              <w:instrText xml:space="preserve"> PAGEREF _Toc129784750 \h </w:instrText>
            </w:r>
            <w:r>
              <w:rPr>
                <w:noProof/>
                <w:webHidden/>
              </w:rPr>
            </w:r>
            <w:r>
              <w:rPr>
                <w:noProof/>
                <w:webHidden/>
              </w:rPr>
              <w:fldChar w:fldCharType="separate"/>
            </w:r>
            <w:r>
              <w:rPr>
                <w:noProof/>
                <w:webHidden/>
              </w:rPr>
              <w:t>34</w:t>
            </w:r>
            <w:r>
              <w:rPr>
                <w:noProof/>
                <w:webHidden/>
              </w:rPr>
              <w:fldChar w:fldCharType="end"/>
            </w:r>
          </w:hyperlink>
        </w:p>
        <w:p w14:paraId="229252ED" w14:textId="28CA9C11" w:rsidR="00193B56" w:rsidRDefault="00193B56">
          <w:pPr>
            <w:pStyle w:val="TM2"/>
            <w:tabs>
              <w:tab w:val="left" w:pos="502"/>
              <w:tab w:val="right" w:leader="dot" w:pos="10196"/>
            </w:tabs>
            <w:rPr>
              <w:rFonts w:cstheme="minorBidi"/>
              <w:b w:val="0"/>
              <w:bCs w:val="0"/>
              <w:smallCaps w:val="0"/>
              <w:noProof/>
            </w:rPr>
          </w:pPr>
          <w:hyperlink w:anchor="_Toc129784751" w:history="1">
            <w:r w:rsidRPr="00B75649">
              <w:rPr>
                <w:rStyle w:val="Lienhypertexte"/>
                <w:noProof/>
              </w:rPr>
              <w:t>6.2</w:t>
            </w:r>
            <w:r>
              <w:rPr>
                <w:rFonts w:cstheme="minorBidi"/>
                <w:b w:val="0"/>
                <w:bCs w:val="0"/>
                <w:smallCaps w:val="0"/>
                <w:noProof/>
              </w:rPr>
              <w:tab/>
            </w:r>
            <w:r w:rsidRPr="00B75649">
              <w:rPr>
                <w:rStyle w:val="Lienhypertexte"/>
                <w:noProof/>
              </w:rPr>
              <w:t>L’hydroélectricité</w:t>
            </w:r>
            <w:r>
              <w:rPr>
                <w:noProof/>
                <w:webHidden/>
              </w:rPr>
              <w:tab/>
            </w:r>
            <w:r>
              <w:rPr>
                <w:noProof/>
                <w:webHidden/>
              </w:rPr>
              <w:fldChar w:fldCharType="begin"/>
            </w:r>
            <w:r>
              <w:rPr>
                <w:noProof/>
                <w:webHidden/>
              </w:rPr>
              <w:instrText xml:space="preserve"> PAGEREF _Toc129784751 \h </w:instrText>
            </w:r>
            <w:r>
              <w:rPr>
                <w:noProof/>
                <w:webHidden/>
              </w:rPr>
            </w:r>
            <w:r>
              <w:rPr>
                <w:noProof/>
                <w:webHidden/>
              </w:rPr>
              <w:fldChar w:fldCharType="separate"/>
            </w:r>
            <w:r>
              <w:rPr>
                <w:noProof/>
                <w:webHidden/>
              </w:rPr>
              <w:t>39</w:t>
            </w:r>
            <w:r>
              <w:rPr>
                <w:noProof/>
                <w:webHidden/>
              </w:rPr>
              <w:fldChar w:fldCharType="end"/>
            </w:r>
          </w:hyperlink>
        </w:p>
        <w:p w14:paraId="62841248" w14:textId="0B90A751" w:rsidR="00193B56" w:rsidRDefault="00193B56">
          <w:pPr>
            <w:pStyle w:val="TM2"/>
            <w:tabs>
              <w:tab w:val="left" w:pos="502"/>
              <w:tab w:val="right" w:leader="dot" w:pos="10196"/>
            </w:tabs>
            <w:rPr>
              <w:rFonts w:cstheme="minorBidi"/>
              <w:b w:val="0"/>
              <w:bCs w:val="0"/>
              <w:smallCaps w:val="0"/>
              <w:noProof/>
            </w:rPr>
          </w:pPr>
          <w:hyperlink w:anchor="_Toc129784752" w:history="1">
            <w:r w:rsidRPr="00B75649">
              <w:rPr>
                <w:rStyle w:val="Lienhypertexte"/>
                <w:noProof/>
              </w:rPr>
              <w:t>6.3</w:t>
            </w:r>
            <w:r>
              <w:rPr>
                <w:rFonts w:cstheme="minorBidi"/>
                <w:b w:val="0"/>
                <w:bCs w:val="0"/>
                <w:smallCaps w:val="0"/>
                <w:noProof/>
              </w:rPr>
              <w:tab/>
            </w:r>
            <w:r w:rsidRPr="00B75649">
              <w:rPr>
                <w:rStyle w:val="Lienhypertexte"/>
                <w:noProof/>
              </w:rPr>
              <w:t>Production de chaleur renouvelable</w:t>
            </w:r>
            <w:r>
              <w:rPr>
                <w:noProof/>
                <w:webHidden/>
              </w:rPr>
              <w:tab/>
            </w:r>
            <w:r>
              <w:rPr>
                <w:noProof/>
                <w:webHidden/>
              </w:rPr>
              <w:fldChar w:fldCharType="begin"/>
            </w:r>
            <w:r>
              <w:rPr>
                <w:noProof/>
                <w:webHidden/>
              </w:rPr>
              <w:instrText xml:space="preserve"> PAGEREF _Toc129784752 \h </w:instrText>
            </w:r>
            <w:r>
              <w:rPr>
                <w:noProof/>
                <w:webHidden/>
              </w:rPr>
            </w:r>
            <w:r>
              <w:rPr>
                <w:noProof/>
                <w:webHidden/>
              </w:rPr>
              <w:fldChar w:fldCharType="separate"/>
            </w:r>
            <w:r>
              <w:rPr>
                <w:noProof/>
                <w:webHidden/>
              </w:rPr>
              <w:t>40</w:t>
            </w:r>
            <w:r>
              <w:rPr>
                <w:noProof/>
                <w:webHidden/>
              </w:rPr>
              <w:fldChar w:fldCharType="end"/>
            </w:r>
          </w:hyperlink>
        </w:p>
        <w:p w14:paraId="7FBE393B" w14:textId="529ECF35" w:rsidR="00193B56" w:rsidRDefault="00193B56">
          <w:pPr>
            <w:pStyle w:val="TM3"/>
            <w:tabs>
              <w:tab w:val="left" w:pos="666"/>
              <w:tab w:val="right" w:leader="dot" w:pos="10196"/>
            </w:tabs>
            <w:rPr>
              <w:rFonts w:cstheme="minorBidi"/>
              <w:smallCaps w:val="0"/>
              <w:noProof/>
            </w:rPr>
          </w:pPr>
          <w:hyperlink w:anchor="_Toc129784753" w:history="1">
            <w:r w:rsidRPr="00B75649">
              <w:rPr>
                <w:rStyle w:val="Lienhypertexte"/>
                <w:noProof/>
              </w:rPr>
              <w:t>6.3.1</w:t>
            </w:r>
            <w:r>
              <w:rPr>
                <w:rFonts w:cstheme="minorBidi"/>
                <w:smallCaps w:val="0"/>
                <w:noProof/>
              </w:rPr>
              <w:tab/>
            </w:r>
            <w:r w:rsidRPr="00B75649">
              <w:rPr>
                <w:rStyle w:val="Lienhypertexte"/>
                <w:noProof/>
              </w:rPr>
              <w:t>Le solaire thermique</w:t>
            </w:r>
            <w:r>
              <w:rPr>
                <w:noProof/>
                <w:webHidden/>
              </w:rPr>
              <w:tab/>
            </w:r>
            <w:r>
              <w:rPr>
                <w:noProof/>
                <w:webHidden/>
              </w:rPr>
              <w:fldChar w:fldCharType="begin"/>
            </w:r>
            <w:r>
              <w:rPr>
                <w:noProof/>
                <w:webHidden/>
              </w:rPr>
              <w:instrText xml:space="preserve"> PAGEREF _Toc129784753 \h </w:instrText>
            </w:r>
            <w:r>
              <w:rPr>
                <w:noProof/>
                <w:webHidden/>
              </w:rPr>
            </w:r>
            <w:r>
              <w:rPr>
                <w:noProof/>
                <w:webHidden/>
              </w:rPr>
              <w:fldChar w:fldCharType="separate"/>
            </w:r>
            <w:r>
              <w:rPr>
                <w:noProof/>
                <w:webHidden/>
              </w:rPr>
              <w:t>40</w:t>
            </w:r>
            <w:r>
              <w:rPr>
                <w:noProof/>
                <w:webHidden/>
              </w:rPr>
              <w:fldChar w:fldCharType="end"/>
            </w:r>
          </w:hyperlink>
        </w:p>
        <w:p w14:paraId="3FA68DE9" w14:textId="1878B570" w:rsidR="00193B56" w:rsidRDefault="00193B56">
          <w:pPr>
            <w:pStyle w:val="TM3"/>
            <w:tabs>
              <w:tab w:val="left" w:pos="666"/>
              <w:tab w:val="right" w:leader="dot" w:pos="10196"/>
            </w:tabs>
            <w:rPr>
              <w:rFonts w:cstheme="minorBidi"/>
              <w:smallCaps w:val="0"/>
              <w:noProof/>
            </w:rPr>
          </w:pPr>
          <w:hyperlink w:anchor="_Toc129784754" w:history="1">
            <w:r w:rsidRPr="00B75649">
              <w:rPr>
                <w:rStyle w:val="Lienhypertexte"/>
                <w:noProof/>
              </w:rPr>
              <w:t>6.3.2</w:t>
            </w:r>
            <w:r>
              <w:rPr>
                <w:rFonts w:cstheme="minorBidi"/>
                <w:smallCaps w:val="0"/>
                <w:noProof/>
              </w:rPr>
              <w:tab/>
            </w:r>
            <w:r w:rsidRPr="00B75649">
              <w:rPr>
                <w:rStyle w:val="Lienhypertexte"/>
                <w:noProof/>
              </w:rPr>
              <w:t>La géothermie basse et très basse énergie</w:t>
            </w:r>
            <w:r>
              <w:rPr>
                <w:noProof/>
                <w:webHidden/>
              </w:rPr>
              <w:tab/>
            </w:r>
            <w:r>
              <w:rPr>
                <w:noProof/>
                <w:webHidden/>
              </w:rPr>
              <w:fldChar w:fldCharType="begin"/>
            </w:r>
            <w:r>
              <w:rPr>
                <w:noProof/>
                <w:webHidden/>
              </w:rPr>
              <w:instrText xml:space="preserve"> PAGEREF _Toc129784754 \h </w:instrText>
            </w:r>
            <w:r>
              <w:rPr>
                <w:noProof/>
                <w:webHidden/>
              </w:rPr>
            </w:r>
            <w:r>
              <w:rPr>
                <w:noProof/>
                <w:webHidden/>
              </w:rPr>
              <w:fldChar w:fldCharType="separate"/>
            </w:r>
            <w:r>
              <w:rPr>
                <w:noProof/>
                <w:webHidden/>
              </w:rPr>
              <w:t>42</w:t>
            </w:r>
            <w:r>
              <w:rPr>
                <w:noProof/>
                <w:webHidden/>
              </w:rPr>
              <w:fldChar w:fldCharType="end"/>
            </w:r>
          </w:hyperlink>
        </w:p>
        <w:p w14:paraId="739EF8AF" w14:textId="5E2EEE67" w:rsidR="00193B56" w:rsidRDefault="00193B56">
          <w:pPr>
            <w:pStyle w:val="TM3"/>
            <w:tabs>
              <w:tab w:val="left" w:pos="666"/>
              <w:tab w:val="right" w:leader="dot" w:pos="10196"/>
            </w:tabs>
            <w:rPr>
              <w:rFonts w:cstheme="minorBidi"/>
              <w:smallCaps w:val="0"/>
              <w:noProof/>
            </w:rPr>
          </w:pPr>
          <w:hyperlink w:anchor="_Toc129784755" w:history="1">
            <w:r w:rsidRPr="00B75649">
              <w:rPr>
                <w:rStyle w:val="Lienhypertexte"/>
                <w:noProof/>
              </w:rPr>
              <w:t>6.3.3</w:t>
            </w:r>
            <w:r>
              <w:rPr>
                <w:rFonts w:cstheme="minorBidi"/>
                <w:smallCaps w:val="0"/>
                <w:noProof/>
              </w:rPr>
              <w:tab/>
            </w:r>
            <w:r w:rsidRPr="00B75649">
              <w:rPr>
                <w:rStyle w:val="Lienhypertexte"/>
                <w:noProof/>
              </w:rPr>
              <w:t>Les pompes à chaleur aérothermiques</w:t>
            </w:r>
            <w:r>
              <w:rPr>
                <w:noProof/>
                <w:webHidden/>
              </w:rPr>
              <w:tab/>
            </w:r>
            <w:r>
              <w:rPr>
                <w:noProof/>
                <w:webHidden/>
              </w:rPr>
              <w:fldChar w:fldCharType="begin"/>
            </w:r>
            <w:r>
              <w:rPr>
                <w:noProof/>
                <w:webHidden/>
              </w:rPr>
              <w:instrText xml:space="preserve"> PAGEREF _Toc129784755 \h </w:instrText>
            </w:r>
            <w:r>
              <w:rPr>
                <w:noProof/>
                <w:webHidden/>
              </w:rPr>
            </w:r>
            <w:r>
              <w:rPr>
                <w:noProof/>
                <w:webHidden/>
              </w:rPr>
              <w:fldChar w:fldCharType="separate"/>
            </w:r>
            <w:r>
              <w:rPr>
                <w:noProof/>
                <w:webHidden/>
              </w:rPr>
              <w:t>45</w:t>
            </w:r>
            <w:r>
              <w:rPr>
                <w:noProof/>
                <w:webHidden/>
              </w:rPr>
              <w:fldChar w:fldCharType="end"/>
            </w:r>
          </w:hyperlink>
        </w:p>
        <w:p w14:paraId="34B757FF" w14:textId="0FEF4C65" w:rsidR="00193B56" w:rsidRDefault="00193B56">
          <w:pPr>
            <w:pStyle w:val="TM2"/>
            <w:tabs>
              <w:tab w:val="left" w:pos="502"/>
              <w:tab w:val="right" w:leader="dot" w:pos="10196"/>
            </w:tabs>
            <w:rPr>
              <w:rFonts w:cstheme="minorBidi"/>
              <w:b w:val="0"/>
              <w:bCs w:val="0"/>
              <w:smallCaps w:val="0"/>
              <w:noProof/>
            </w:rPr>
          </w:pPr>
          <w:hyperlink w:anchor="_Toc129784756" w:history="1">
            <w:r w:rsidRPr="00B75649">
              <w:rPr>
                <w:rStyle w:val="Lienhypertexte"/>
                <w:noProof/>
              </w:rPr>
              <w:t>6.4</w:t>
            </w:r>
            <w:r>
              <w:rPr>
                <w:rFonts w:cstheme="minorBidi"/>
                <w:b w:val="0"/>
                <w:bCs w:val="0"/>
                <w:smallCaps w:val="0"/>
                <w:noProof/>
              </w:rPr>
              <w:tab/>
            </w:r>
            <w:r w:rsidRPr="00B75649">
              <w:rPr>
                <w:rStyle w:val="Lienhypertexte"/>
                <w:noProof/>
              </w:rPr>
              <w:t>Production de chaleur, d’électricité ou de carburants à partir d’un même vecteur énergétique</w:t>
            </w:r>
            <w:r>
              <w:rPr>
                <w:noProof/>
                <w:webHidden/>
              </w:rPr>
              <w:tab/>
            </w:r>
            <w:r>
              <w:rPr>
                <w:noProof/>
                <w:webHidden/>
              </w:rPr>
              <w:fldChar w:fldCharType="begin"/>
            </w:r>
            <w:r>
              <w:rPr>
                <w:noProof/>
                <w:webHidden/>
              </w:rPr>
              <w:instrText xml:space="preserve"> PAGEREF _Toc129784756 \h </w:instrText>
            </w:r>
            <w:r>
              <w:rPr>
                <w:noProof/>
                <w:webHidden/>
              </w:rPr>
            </w:r>
            <w:r>
              <w:rPr>
                <w:noProof/>
                <w:webHidden/>
              </w:rPr>
              <w:fldChar w:fldCharType="separate"/>
            </w:r>
            <w:r>
              <w:rPr>
                <w:noProof/>
                <w:webHidden/>
              </w:rPr>
              <w:t>47</w:t>
            </w:r>
            <w:r>
              <w:rPr>
                <w:noProof/>
                <w:webHidden/>
              </w:rPr>
              <w:fldChar w:fldCharType="end"/>
            </w:r>
          </w:hyperlink>
        </w:p>
        <w:p w14:paraId="78B7A661" w14:textId="0E378809" w:rsidR="00193B56" w:rsidRDefault="00193B56">
          <w:pPr>
            <w:pStyle w:val="TM3"/>
            <w:tabs>
              <w:tab w:val="left" w:pos="666"/>
              <w:tab w:val="right" w:leader="dot" w:pos="10196"/>
            </w:tabs>
            <w:rPr>
              <w:rFonts w:cstheme="minorBidi"/>
              <w:smallCaps w:val="0"/>
              <w:noProof/>
            </w:rPr>
          </w:pPr>
          <w:hyperlink w:anchor="_Toc129784757" w:history="1">
            <w:r w:rsidRPr="00B75649">
              <w:rPr>
                <w:rStyle w:val="Lienhypertexte"/>
                <w:noProof/>
              </w:rPr>
              <w:t>6.4.1</w:t>
            </w:r>
            <w:r>
              <w:rPr>
                <w:rFonts w:cstheme="minorBidi"/>
                <w:smallCaps w:val="0"/>
                <w:noProof/>
              </w:rPr>
              <w:tab/>
            </w:r>
            <w:r w:rsidRPr="00B75649">
              <w:rPr>
                <w:rStyle w:val="Lienhypertexte"/>
                <w:noProof/>
              </w:rPr>
              <w:t>Bois énergie</w:t>
            </w:r>
            <w:r>
              <w:rPr>
                <w:noProof/>
                <w:webHidden/>
              </w:rPr>
              <w:tab/>
            </w:r>
            <w:r>
              <w:rPr>
                <w:noProof/>
                <w:webHidden/>
              </w:rPr>
              <w:fldChar w:fldCharType="begin"/>
            </w:r>
            <w:r>
              <w:rPr>
                <w:noProof/>
                <w:webHidden/>
              </w:rPr>
              <w:instrText xml:space="preserve"> PAGEREF _Toc129784757 \h </w:instrText>
            </w:r>
            <w:r>
              <w:rPr>
                <w:noProof/>
                <w:webHidden/>
              </w:rPr>
            </w:r>
            <w:r>
              <w:rPr>
                <w:noProof/>
                <w:webHidden/>
              </w:rPr>
              <w:fldChar w:fldCharType="separate"/>
            </w:r>
            <w:r>
              <w:rPr>
                <w:noProof/>
                <w:webHidden/>
              </w:rPr>
              <w:t>47</w:t>
            </w:r>
            <w:r>
              <w:rPr>
                <w:noProof/>
                <w:webHidden/>
              </w:rPr>
              <w:fldChar w:fldCharType="end"/>
            </w:r>
          </w:hyperlink>
        </w:p>
        <w:p w14:paraId="3876C1CA" w14:textId="409E2288" w:rsidR="00193B56" w:rsidRDefault="00193B56">
          <w:pPr>
            <w:pStyle w:val="TM3"/>
            <w:tabs>
              <w:tab w:val="left" w:pos="666"/>
              <w:tab w:val="right" w:leader="dot" w:pos="10196"/>
            </w:tabs>
            <w:rPr>
              <w:rFonts w:cstheme="minorBidi"/>
              <w:smallCaps w:val="0"/>
              <w:noProof/>
            </w:rPr>
          </w:pPr>
          <w:hyperlink w:anchor="_Toc129784758" w:history="1">
            <w:r w:rsidRPr="00B75649">
              <w:rPr>
                <w:rStyle w:val="Lienhypertexte"/>
                <w:noProof/>
              </w:rPr>
              <w:t>6.4.2</w:t>
            </w:r>
            <w:r>
              <w:rPr>
                <w:rFonts w:cstheme="minorBidi"/>
                <w:smallCaps w:val="0"/>
                <w:noProof/>
              </w:rPr>
              <w:tab/>
            </w:r>
            <w:r w:rsidRPr="00B75649">
              <w:rPr>
                <w:rStyle w:val="Lienhypertexte"/>
                <w:noProof/>
              </w:rPr>
              <w:t>Le biogaz issu de méthanisation</w:t>
            </w:r>
            <w:r>
              <w:rPr>
                <w:noProof/>
                <w:webHidden/>
              </w:rPr>
              <w:tab/>
            </w:r>
            <w:r>
              <w:rPr>
                <w:noProof/>
                <w:webHidden/>
              </w:rPr>
              <w:fldChar w:fldCharType="begin"/>
            </w:r>
            <w:r>
              <w:rPr>
                <w:noProof/>
                <w:webHidden/>
              </w:rPr>
              <w:instrText xml:space="preserve"> PAGEREF _Toc129784758 \h </w:instrText>
            </w:r>
            <w:r>
              <w:rPr>
                <w:noProof/>
                <w:webHidden/>
              </w:rPr>
            </w:r>
            <w:r>
              <w:rPr>
                <w:noProof/>
                <w:webHidden/>
              </w:rPr>
              <w:fldChar w:fldCharType="separate"/>
            </w:r>
            <w:r>
              <w:rPr>
                <w:noProof/>
                <w:webHidden/>
              </w:rPr>
              <w:t>52</w:t>
            </w:r>
            <w:r>
              <w:rPr>
                <w:noProof/>
                <w:webHidden/>
              </w:rPr>
              <w:fldChar w:fldCharType="end"/>
            </w:r>
          </w:hyperlink>
        </w:p>
        <w:p w14:paraId="3EF5213F" w14:textId="2564E4BC" w:rsidR="00193B56" w:rsidRDefault="00193B56">
          <w:pPr>
            <w:pStyle w:val="TM3"/>
            <w:tabs>
              <w:tab w:val="left" w:pos="666"/>
              <w:tab w:val="right" w:leader="dot" w:pos="10196"/>
            </w:tabs>
            <w:rPr>
              <w:rFonts w:cstheme="minorBidi"/>
              <w:smallCaps w:val="0"/>
              <w:noProof/>
            </w:rPr>
          </w:pPr>
          <w:hyperlink w:anchor="_Toc129784759" w:history="1">
            <w:r w:rsidRPr="00B75649">
              <w:rPr>
                <w:rStyle w:val="Lienhypertexte"/>
                <w:noProof/>
              </w:rPr>
              <w:t>6.4.3</w:t>
            </w:r>
            <w:r>
              <w:rPr>
                <w:rFonts w:cstheme="minorBidi"/>
                <w:smallCaps w:val="0"/>
                <w:noProof/>
              </w:rPr>
              <w:tab/>
            </w:r>
            <w:r w:rsidRPr="00B75649">
              <w:rPr>
                <w:rStyle w:val="Lienhypertexte"/>
                <w:noProof/>
              </w:rPr>
              <w:t>Récupération de chaleur fatale</w:t>
            </w:r>
            <w:r>
              <w:rPr>
                <w:noProof/>
                <w:webHidden/>
              </w:rPr>
              <w:tab/>
            </w:r>
            <w:r>
              <w:rPr>
                <w:noProof/>
                <w:webHidden/>
              </w:rPr>
              <w:fldChar w:fldCharType="begin"/>
            </w:r>
            <w:r>
              <w:rPr>
                <w:noProof/>
                <w:webHidden/>
              </w:rPr>
              <w:instrText xml:space="preserve"> PAGEREF _Toc129784759 \h </w:instrText>
            </w:r>
            <w:r>
              <w:rPr>
                <w:noProof/>
                <w:webHidden/>
              </w:rPr>
            </w:r>
            <w:r>
              <w:rPr>
                <w:noProof/>
                <w:webHidden/>
              </w:rPr>
              <w:fldChar w:fldCharType="separate"/>
            </w:r>
            <w:r>
              <w:rPr>
                <w:noProof/>
                <w:webHidden/>
              </w:rPr>
              <w:t>54</w:t>
            </w:r>
            <w:r>
              <w:rPr>
                <w:noProof/>
                <w:webHidden/>
              </w:rPr>
              <w:fldChar w:fldCharType="end"/>
            </w:r>
          </w:hyperlink>
        </w:p>
        <w:p w14:paraId="5D0956EF" w14:textId="70B4043D" w:rsidR="00193B56" w:rsidRDefault="00193B56">
          <w:pPr>
            <w:pStyle w:val="TM2"/>
            <w:tabs>
              <w:tab w:val="left" w:pos="502"/>
              <w:tab w:val="right" w:leader="dot" w:pos="10196"/>
            </w:tabs>
            <w:rPr>
              <w:rFonts w:cstheme="minorBidi"/>
              <w:b w:val="0"/>
              <w:bCs w:val="0"/>
              <w:smallCaps w:val="0"/>
              <w:noProof/>
            </w:rPr>
          </w:pPr>
          <w:hyperlink w:anchor="_Toc129784760" w:history="1">
            <w:r w:rsidRPr="00B75649">
              <w:rPr>
                <w:rStyle w:val="Lienhypertexte"/>
                <w:noProof/>
              </w:rPr>
              <w:t>6.5</w:t>
            </w:r>
            <w:r>
              <w:rPr>
                <w:rFonts w:cstheme="minorBidi"/>
                <w:b w:val="0"/>
                <w:bCs w:val="0"/>
                <w:smallCaps w:val="0"/>
                <w:noProof/>
              </w:rPr>
              <w:tab/>
            </w:r>
            <w:r w:rsidRPr="00B75649">
              <w:rPr>
                <w:rStyle w:val="Lienhypertexte"/>
                <w:noProof/>
              </w:rPr>
              <w:t>Conclusion</w:t>
            </w:r>
            <w:r>
              <w:rPr>
                <w:noProof/>
                <w:webHidden/>
              </w:rPr>
              <w:tab/>
            </w:r>
            <w:r>
              <w:rPr>
                <w:noProof/>
                <w:webHidden/>
              </w:rPr>
              <w:fldChar w:fldCharType="begin"/>
            </w:r>
            <w:r>
              <w:rPr>
                <w:noProof/>
                <w:webHidden/>
              </w:rPr>
              <w:instrText xml:space="preserve"> PAGEREF _Toc129784760 \h </w:instrText>
            </w:r>
            <w:r>
              <w:rPr>
                <w:noProof/>
                <w:webHidden/>
              </w:rPr>
            </w:r>
            <w:r>
              <w:rPr>
                <w:noProof/>
                <w:webHidden/>
              </w:rPr>
              <w:fldChar w:fldCharType="separate"/>
            </w:r>
            <w:r>
              <w:rPr>
                <w:noProof/>
                <w:webHidden/>
              </w:rPr>
              <w:t>58</w:t>
            </w:r>
            <w:r>
              <w:rPr>
                <w:noProof/>
                <w:webHidden/>
              </w:rPr>
              <w:fldChar w:fldCharType="end"/>
            </w:r>
          </w:hyperlink>
        </w:p>
        <w:p w14:paraId="4A5901FD" w14:textId="3B7EB223" w:rsidR="00193B56" w:rsidRDefault="00193B56">
          <w:pPr>
            <w:pStyle w:val="TM1"/>
            <w:tabs>
              <w:tab w:val="left" w:pos="332"/>
              <w:tab w:val="right" w:leader="dot" w:pos="10196"/>
            </w:tabs>
            <w:rPr>
              <w:rFonts w:cstheme="minorBidi"/>
              <w:b w:val="0"/>
              <w:bCs w:val="0"/>
              <w:caps w:val="0"/>
              <w:noProof/>
              <w:u w:val="none"/>
            </w:rPr>
          </w:pPr>
          <w:hyperlink w:anchor="_Toc129784761" w:history="1">
            <w:r w:rsidRPr="00B75649">
              <w:rPr>
                <w:rStyle w:val="Lienhypertexte"/>
                <w:rFonts w:eastAsia="Batang"/>
                <w:noProof/>
              </w:rPr>
              <w:t>7</w:t>
            </w:r>
            <w:r>
              <w:rPr>
                <w:rFonts w:cstheme="minorBidi"/>
                <w:b w:val="0"/>
                <w:bCs w:val="0"/>
                <w:caps w:val="0"/>
                <w:noProof/>
                <w:u w:val="none"/>
              </w:rPr>
              <w:tab/>
            </w:r>
            <w:r w:rsidRPr="00B75649">
              <w:rPr>
                <w:rStyle w:val="Lienhypertexte"/>
                <w:rFonts w:eastAsia="Batang"/>
                <w:noProof/>
              </w:rPr>
              <w:t>Les réseaux</w:t>
            </w:r>
            <w:r>
              <w:rPr>
                <w:noProof/>
                <w:webHidden/>
              </w:rPr>
              <w:tab/>
            </w:r>
            <w:r>
              <w:rPr>
                <w:noProof/>
                <w:webHidden/>
              </w:rPr>
              <w:fldChar w:fldCharType="begin"/>
            </w:r>
            <w:r>
              <w:rPr>
                <w:noProof/>
                <w:webHidden/>
              </w:rPr>
              <w:instrText xml:space="preserve"> PAGEREF _Toc129784761 \h </w:instrText>
            </w:r>
            <w:r>
              <w:rPr>
                <w:noProof/>
                <w:webHidden/>
              </w:rPr>
            </w:r>
            <w:r>
              <w:rPr>
                <w:noProof/>
                <w:webHidden/>
              </w:rPr>
              <w:fldChar w:fldCharType="separate"/>
            </w:r>
            <w:r>
              <w:rPr>
                <w:noProof/>
                <w:webHidden/>
              </w:rPr>
              <w:t>59</w:t>
            </w:r>
            <w:r>
              <w:rPr>
                <w:noProof/>
                <w:webHidden/>
              </w:rPr>
              <w:fldChar w:fldCharType="end"/>
            </w:r>
          </w:hyperlink>
        </w:p>
        <w:p w14:paraId="53AE27B7" w14:textId="7DAFF833" w:rsidR="00193B56" w:rsidRDefault="00193B56">
          <w:pPr>
            <w:pStyle w:val="TM2"/>
            <w:tabs>
              <w:tab w:val="left" w:pos="502"/>
              <w:tab w:val="right" w:leader="dot" w:pos="10196"/>
            </w:tabs>
            <w:rPr>
              <w:rFonts w:cstheme="minorBidi"/>
              <w:b w:val="0"/>
              <w:bCs w:val="0"/>
              <w:smallCaps w:val="0"/>
              <w:noProof/>
            </w:rPr>
          </w:pPr>
          <w:hyperlink w:anchor="_Toc129784763" w:history="1">
            <w:r w:rsidRPr="00B75649">
              <w:rPr>
                <w:rStyle w:val="Lienhypertexte"/>
                <w:noProof/>
              </w:rPr>
              <w:t>7.1</w:t>
            </w:r>
            <w:r>
              <w:rPr>
                <w:rFonts w:cstheme="minorBidi"/>
                <w:b w:val="0"/>
                <w:bCs w:val="0"/>
                <w:smallCaps w:val="0"/>
                <w:noProof/>
              </w:rPr>
              <w:tab/>
            </w:r>
            <w:r w:rsidRPr="00B75649">
              <w:rPr>
                <w:rStyle w:val="Lienhypertexte"/>
                <w:noProof/>
              </w:rPr>
              <w:t>Réseau d’électricité</w:t>
            </w:r>
            <w:r>
              <w:rPr>
                <w:noProof/>
                <w:webHidden/>
              </w:rPr>
              <w:tab/>
            </w:r>
            <w:r>
              <w:rPr>
                <w:noProof/>
                <w:webHidden/>
              </w:rPr>
              <w:fldChar w:fldCharType="begin"/>
            </w:r>
            <w:r>
              <w:rPr>
                <w:noProof/>
                <w:webHidden/>
              </w:rPr>
              <w:instrText xml:space="preserve"> PAGEREF _Toc129784763 \h </w:instrText>
            </w:r>
            <w:r>
              <w:rPr>
                <w:noProof/>
                <w:webHidden/>
              </w:rPr>
            </w:r>
            <w:r>
              <w:rPr>
                <w:noProof/>
                <w:webHidden/>
              </w:rPr>
              <w:fldChar w:fldCharType="separate"/>
            </w:r>
            <w:r>
              <w:rPr>
                <w:noProof/>
                <w:webHidden/>
              </w:rPr>
              <w:t>59</w:t>
            </w:r>
            <w:r>
              <w:rPr>
                <w:noProof/>
                <w:webHidden/>
              </w:rPr>
              <w:fldChar w:fldCharType="end"/>
            </w:r>
          </w:hyperlink>
        </w:p>
        <w:p w14:paraId="5B368B65" w14:textId="0899209B" w:rsidR="00193B56" w:rsidRDefault="00193B56">
          <w:pPr>
            <w:pStyle w:val="TM2"/>
            <w:tabs>
              <w:tab w:val="left" w:pos="502"/>
              <w:tab w:val="right" w:leader="dot" w:pos="10196"/>
            </w:tabs>
            <w:rPr>
              <w:rFonts w:cstheme="minorBidi"/>
              <w:b w:val="0"/>
              <w:bCs w:val="0"/>
              <w:smallCaps w:val="0"/>
              <w:noProof/>
            </w:rPr>
          </w:pPr>
          <w:hyperlink w:anchor="_Toc129784764" w:history="1">
            <w:r w:rsidRPr="00B75649">
              <w:rPr>
                <w:rStyle w:val="Lienhypertexte"/>
                <w:noProof/>
              </w:rPr>
              <w:t>7.2</w:t>
            </w:r>
            <w:r>
              <w:rPr>
                <w:rFonts w:cstheme="minorBidi"/>
                <w:b w:val="0"/>
                <w:bCs w:val="0"/>
                <w:smallCaps w:val="0"/>
                <w:noProof/>
              </w:rPr>
              <w:tab/>
            </w:r>
            <w:r w:rsidRPr="00B75649">
              <w:rPr>
                <w:rStyle w:val="Lienhypertexte"/>
                <w:noProof/>
              </w:rPr>
              <w:t>Réseau de gaz</w:t>
            </w:r>
            <w:r>
              <w:rPr>
                <w:noProof/>
                <w:webHidden/>
              </w:rPr>
              <w:tab/>
            </w:r>
            <w:r>
              <w:rPr>
                <w:noProof/>
                <w:webHidden/>
              </w:rPr>
              <w:fldChar w:fldCharType="begin"/>
            </w:r>
            <w:r>
              <w:rPr>
                <w:noProof/>
                <w:webHidden/>
              </w:rPr>
              <w:instrText xml:space="preserve"> PAGEREF _Toc129784764 \h </w:instrText>
            </w:r>
            <w:r>
              <w:rPr>
                <w:noProof/>
                <w:webHidden/>
              </w:rPr>
            </w:r>
            <w:r>
              <w:rPr>
                <w:noProof/>
                <w:webHidden/>
              </w:rPr>
              <w:fldChar w:fldCharType="separate"/>
            </w:r>
            <w:r>
              <w:rPr>
                <w:noProof/>
                <w:webHidden/>
              </w:rPr>
              <w:t>59</w:t>
            </w:r>
            <w:r>
              <w:rPr>
                <w:noProof/>
                <w:webHidden/>
              </w:rPr>
              <w:fldChar w:fldCharType="end"/>
            </w:r>
          </w:hyperlink>
        </w:p>
        <w:p w14:paraId="568E7B74" w14:textId="2F34EE8B" w:rsidR="00193B56" w:rsidRDefault="00193B56">
          <w:pPr>
            <w:pStyle w:val="TM2"/>
            <w:tabs>
              <w:tab w:val="left" w:pos="502"/>
              <w:tab w:val="right" w:leader="dot" w:pos="10196"/>
            </w:tabs>
            <w:rPr>
              <w:rFonts w:cstheme="minorBidi"/>
              <w:b w:val="0"/>
              <w:bCs w:val="0"/>
              <w:smallCaps w:val="0"/>
              <w:noProof/>
            </w:rPr>
          </w:pPr>
          <w:hyperlink w:anchor="_Toc129784765" w:history="1">
            <w:r w:rsidRPr="00B75649">
              <w:rPr>
                <w:rStyle w:val="Lienhypertexte"/>
                <w:noProof/>
              </w:rPr>
              <w:t>7.3</w:t>
            </w:r>
            <w:r>
              <w:rPr>
                <w:rFonts w:cstheme="minorBidi"/>
                <w:b w:val="0"/>
                <w:bCs w:val="0"/>
                <w:smallCaps w:val="0"/>
                <w:noProof/>
              </w:rPr>
              <w:tab/>
            </w:r>
            <w:r w:rsidRPr="00B75649">
              <w:rPr>
                <w:rStyle w:val="Lienhypertexte"/>
                <w:noProof/>
              </w:rPr>
              <w:t>Réseaux de chaleur</w:t>
            </w:r>
            <w:r>
              <w:rPr>
                <w:noProof/>
                <w:webHidden/>
              </w:rPr>
              <w:tab/>
            </w:r>
            <w:r>
              <w:rPr>
                <w:noProof/>
                <w:webHidden/>
              </w:rPr>
              <w:fldChar w:fldCharType="begin"/>
            </w:r>
            <w:r>
              <w:rPr>
                <w:noProof/>
                <w:webHidden/>
              </w:rPr>
              <w:instrText xml:space="preserve"> PAGEREF _Toc129784765 \h </w:instrText>
            </w:r>
            <w:r>
              <w:rPr>
                <w:noProof/>
                <w:webHidden/>
              </w:rPr>
            </w:r>
            <w:r>
              <w:rPr>
                <w:noProof/>
                <w:webHidden/>
              </w:rPr>
              <w:fldChar w:fldCharType="separate"/>
            </w:r>
            <w:r>
              <w:rPr>
                <w:noProof/>
                <w:webHidden/>
              </w:rPr>
              <w:t>60</w:t>
            </w:r>
            <w:r>
              <w:rPr>
                <w:noProof/>
                <w:webHidden/>
              </w:rPr>
              <w:fldChar w:fldCharType="end"/>
            </w:r>
          </w:hyperlink>
        </w:p>
        <w:p w14:paraId="33230235" w14:textId="4966A072" w:rsidR="00193B56" w:rsidRDefault="00193B56">
          <w:pPr>
            <w:pStyle w:val="TM1"/>
            <w:tabs>
              <w:tab w:val="left" w:pos="332"/>
              <w:tab w:val="right" w:leader="dot" w:pos="10196"/>
            </w:tabs>
            <w:rPr>
              <w:rFonts w:cstheme="minorBidi"/>
              <w:b w:val="0"/>
              <w:bCs w:val="0"/>
              <w:caps w:val="0"/>
              <w:noProof/>
              <w:u w:val="none"/>
            </w:rPr>
          </w:pPr>
          <w:hyperlink w:anchor="_Toc129784766" w:history="1">
            <w:r w:rsidRPr="00B75649">
              <w:rPr>
                <w:rStyle w:val="Lienhypertexte"/>
                <w:rFonts w:eastAsia="Batang"/>
                <w:noProof/>
              </w:rPr>
              <w:t>8</w:t>
            </w:r>
            <w:r>
              <w:rPr>
                <w:rFonts w:cstheme="minorBidi"/>
                <w:b w:val="0"/>
                <w:bCs w:val="0"/>
                <w:caps w:val="0"/>
                <w:noProof/>
                <w:u w:val="none"/>
              </w:rPr>
              <w:tab/>
            </w:r>
            <w:r w:rsidRPr="00B75649">
              <w:rPr>
                <w:rStyle w:val="Lienhypertexte"/>
                <w:rFonts w:eastAsia="Batang"/>
                <w:noProof/>
              </w:rPr>
              <w:t>Potentiel de stockage des EnR&amp;R</w:t>
            </w:r>
            <w:r>
              <w:rPr>
                <w:noProof/>
                <w:webHidden/>
              </w:rPr>
              <w:tab/>
            </w:r>
            <w:r>
              <w:rPr>
                <w:noProof/>
                <w:webHidden/>
              </w:rPr>
              <w:fldChar w:fldCharType="begin"/>
            </w:r>
            <w:r>
              <w:rPr>
                <w:noProof/>
                <w:webHidden/>
              </w:rPr>
              <w:instrText xml:space="preserve"> PAGEREF _Toc129784766 \h </w:instrText>
            </w:r>
            <w:r>
              <w:rPr>
                <w:noProof/>
                <w:webHidden/>
              </w:rPr>
            </w:r>
            <w:r>
              <w:rPr>
                <w:noProof/>
                <w:webHidden/>
              </w:rPr>
              <w:fldChar w:fldCharType="separate"/>
            </w:r>
            <w:r>
              <w:rPr>
                <w:noProof/>
                <w:webHidden/>
              </w:rPr>
              <w:t>62</w:t>
            </w:r>
            <w:r>
              <w:rPr>
                <w:noProof/>
                <w:webHidden/>
              </w:rPr>
              <w:fldChar w:fldCharType="end"/>
            </w:r>
          </w:hyperlink>
        </w:p>
        <w:p w14:paraId="611888C3" w14:textId="648DCD2E" w:rsidR="00193B56" w:rsidRDefault="00193B56">
          <w:pPr>
            <w:pStyle w:val="TM2"/>
            <w:tabs>
              <w:tab w:val="left" w:pos="502"/>
              <w:tab w:val="right" w:leader="dot" w:pos="10196"/>
            </w:tabs>
            <w:rPr>
              <w:rFonts w:cstheme="minorBidi"/>
              <w:b w:val="0"/>
              <w:bCs w:val="0"/>
              <w:smallCaps w:val="0"/>
              <w:noProof/>
            </w:rPr>
          </w:pPr>
          <w:hyperlink w:anchor="_Toc129784767" w:history="1">
            <w:r w:rsidRPr="00B75649">
              <w:rPr>
                <w:rStyle w:val="Lienhypertexte"/>
                <w:noProof/>
              </w:rPr>
              <w:t>8.1</w:t>
            </w:r>
            <w:r>
              <w:rPr>
                <w:rFonts w:cstheme="minorBidi"/>
                <w:b w:val="0"/>
                <w:bCs w:val="0"/>
                <w:smallCaps w:val="0"/>
                <w:noProof/>
              </w:rPr>
              <w:tab/>
            </w:r>
            <w:r w:rsidRPr="00B75649">
              <w:rPr>
                <w:rStyle w:val="Lienhypertexte"/>
                <w:noProof/>
              </w:rPr>
              <w:t>Stockage d’électricité</w:t>
            </w:r>
            <w:r>
              <w:rPr>
                <w:noProof/>
                <w:webHidden/>
              </w:rPr>
              <w:tab/>
            </w:r>
            <w:r>
              <w:rPr>
                <w:noProof/>
                <w:webHidden/>
              </w:rPr>
              <w:fldChar w:fldCharType="begin"/>
            </w:r>
            <w:r>
              <w:rPr>
                <w:noProof/>
                <w:webHidden/>
              </w:rPr>
              <w:instrText xml:space="preserve"> PAGEREF _Toc129784767 \h </w:instrText>
            </w:r>
            <w:r>
              <w:rPr>
                <w:noProof/>
                <w:webHidden/>
              </w:rPr>
            </w:r>
            <w:r>
              <w:rPr>
                <w:noProof/>
                <w:webHidden/>
              </w:rPr>
              <w:fldChar w:fldCharType="separate"/>
            </w:r>
            <w:r>
              <w:rPr>
                <w:noProof/>
                <w:webHidden/>
              </w:rPr>
              <w:t>62</w:t>
            </w:r>
            <w:r>
              <w:rPr>
                <w:noProof/>
                <w:webHidden/>
              </w:rPr>
              <w:fldChar w:fldCharType="end"/>
            </w:r>
          </w:hyperlink>
        </w:p>
        <w:p w14:paraId="0543950F" w14:textId="2451BB05" w:rsidR="00193B56" w:rsidRDefault="00193B56">
          <w:pPr>
            <w:pStyle w:val="TM2"/>
            <w:tabs>
              <w:tab w:val="left" w:pos="502"/>
              <w:tab w:val="right" w:leader="dot" w:pos="10196"/>
            </w:tabs>
            <w:rPr>
              <w:rFonts w:cstheme="minorBidi"/>
              <w:b w:val="0"/>
              <w:bCs w:val="0"/>
              <w:smallCaps w:val="0"/>
              <w:noProof/>
            </w:rPr>
          </w:pPr>
          <w:hyperlink w:anchor="_Toc129784768" w:history="1">
            <w:r w:rsidRPr="00B75649">
              <w:rPr>
                <w:rStyle w:val="Lienhypertexte"/>
                <w:noProof/>
              </w:rPr>
              <w:t>8.2</w:t>
            </w:r>
            <w:r>
              <w:rPr>
                <w:rFonts w:cstheme="minorBidi"/>
                <w:b w:val="0"/>
                <w:bCs w:val="0"/>
                <w:smallCaps w:val="0"/>
                <w:noProof/>
              </w:rPr>
              <w:tab/>
            </w:r>
            <w:r w:rsidRPr="00B75649">
              <w:rPr>
                <w:rStyle w:val="Lienhypertexte"/>
                <w:noProof/>
              </w:rPr>
              <w:t>Stockage de chaleur</w:t>
            </w:r>
            <w:r>
              <w:rPr>
                <w:noProof/>
                <w:webHidden/>
              </w:rPr>
              <w:tab/>
            </w:r>
            <w:r>
              <w:rPr>
                <w:noProof/>
                <w:webHidden/>
              </w:rPr>
              <w:fldChar w:fldCharType="begin"/>
            </w:r>
            <w:r>
              <w:rPr>
                <w:noProof/>
                <w:webHidden/>
              </w:rPr>
              <w:instrText xml:space="preserve"> PAGEREF _Toc129784768 \h </w:instrText>
            </w:r>
            <w:r>
              <w:rPr>
                <w:noProof/>
                <w:webHidden/>
              </w:rPr>
            </w:r>
            <w:r>
              <w:rPr>
                <w:noProof/>
                <w:webHidden/>
              </w:rPr>
              <w:fldChar w:fldCharType="separate"/>
            </w:r>
            <w:r>
              <w:rPr>
                <w:noProof/>
                <w:webHidden/>
              </w:rPr>
              <w:t>64</w:t>
            </w:r>
            <w:r>
              <w:rPr>
                <w:noProof/>
                <w:webHidden/>
              </w:rPr>
              <w:fldChar w:fldCharType="end"/>
            </w:r>
          </w:hyperlink>
        </w:p>
        <w:p w14:paraId="0CBA095D" w14:textId="5ADF7F3C" w:rsidR="00193B56" w:rsidRDefault="00193B56">
          <w:pPr>
            <w:pStyle w:val="TM2"/>
            <w:tabs>
              <w:tab w:val="left" w:pos="502"/>
              <w:tab w:val="right" w:leader="dot" w:pos="10196"/>
            </w:tabs>
            <w:rPr>
              <w:rFonts w:cstheme="minorBidi"/>
              <w:b w:val="0"/>
              <w:bCs w:val="0"/>
              <w:smallCaps w:val="0"/>
              <w:noProof/>
            </w:rPr>
          </w:pPr>
          <w:hyperlink w:anchor="_Toc129784769" w:history="1">
            <w:r w:rsidRPr="00B75649">
              <w:rPr>
                <w:rStyle w:val="Lienhypertexte"/>
                <w:noProof/>
              </w:rPr>
              <w:t>8.3</w:t>
            </w:r>
            <w:r>
              <w:rPr>
                <w:rFonts w:cstheme="minorBidi"/>
                <w:b w:val="0"/>
                <w:bCs w:val="0"/>
                <w:smallCaps w:val="0"/>
                <w:noProof/>
              </w:rPr>
              <w:tab/>
            </w:r>
            <w:r w:rsidRPr="00B75649">
              <w:rPr>
                <w:rStyle w:val="Lienhypertexte"/>
                <w:noProof/>
              </w:rPr>
              <w:t>Conclusion</w:t>
            </w:r>
            <w:r>
              <w:rPr>
                <w:noProof/>
                <w:webHidden/>
              </w:rPr>
              <w:tab/>
            </w:r>
            <w:r>
              <w:rPr>
                <w:noProof/>
                <w:webHidden/>
              </w:rPr>
              <w:fldChar w:fldCharType="begin"/>
            </w:r>
            <w:r>
              <w:rPr>
                <w:noProof/>
                <w:webHidden/>
              </w:rPr>
              <w:instrText xml:space="preserve"> PAGEREF _Toc129784769 \h </w:instrText>
            </w:r>
            <w:r>
              <w:rPr>
                <w:noProof/>
                <w:webHidden/>
              </w:rPr>
            </w:r>
            <w:r>
              <w:rPr>
                <w:noProof/>
                <w:webHidden/>
              </w:rPr>
              <w:fldChar w:fldCharType="separate"/>
            </w:r>
            <w:r>
              <w:rPr>
                <w:noProof/>
                <w:webHidden/>
              </w:rPr>
              <w:t>65</w:t>
            </w:r>
            <w:r>
              <w:rPr>
                <w:noProof/>
                <w:webHidden/>
              </w:rPr>
              <w:fldChar w:fldCharType="end"/>
            </w:r>
          </w:hyperlink>
        </w:p>
        <w:p w14:paraId="5574B558" w14:textId="5805EF01" w:rsidR="000A4131" w:rsidRDefault="00383522" w:rsidP="00353B16">
          <w:pPr>
            <w:rPr>
              <w:b/>
              <w:bCs/>
            </w:rPr>
          </w:pPr>
          <w:r>
            <w:rPr>
              <w:b/>
              <w:bCs/>
            </w:rPr>
            <w:fldChar w:fldCharType="end"/>
          </w:r>
        </w:p>
      </w:sdtContent>
    </w:sdt>
    <w:p w14:paraId="02E6976F" w14:textId="23C5EB32" w:rsidR="000A4131" w:rsidRPr="00FD604C" w:rsidRDefault="000A4131" w:rsidP="00193B56">
      <w:pPr>
        <w:spacing w:after="200" w:line="276" w:lineRule="auto"/>
        <w:jc w:val="left"/>
        <w:rPr>
          <w:rStyle w:val="Rfrenceintense"/>
        </w:rPr>
      </w:pPr>
      <w:r>
        <w:rPr>
          <w:b/>
          <w:bCs/>
        </w:rPr>
        <w:br w:type="page"/>
      </w:r>
      <w:r w:rsidRPr="00FD604C">
        <w:rPr>
          <w:rStyle w:val="Rfrenceintense"/>
        </w:rPr>
        <w:lastRenderedPageBreak/>
        <w:t>Description du document</w:t>
      </w:r>
    </w:p>
    <w:p w14:paraId="634C3538" w14:textId="5A27AE41" w:rsidR="000A4131" w:rsidRPr="00730BF7" w:rsidRDefault="000A4131" w:rsidP="000A4131">
      <w:r w:rsidRPr="00730BF7">
        <w:rPr>
          <w:b/>
          <w:bCs/>
        </w:rPr>
        <w:t>Référence projet</w:t>
      </w:r>
      <w:r w:rsidRPr="00730BF7">
        <w:t xml:space="preserve"> : </w:t>
      </w:r>
      <w:r w:rsidR="00290079">
        <w:t xml:space="preserve">2300EPX – Etude </w:t>
      </w:r>
      <w:proofErr w:type="spellStart"/>
      <w:r w:rsidR="00290079">
        <w:t>EnR&amp;R</w:t>
      </w:r>
      <w:proofErr w:type="spellEnd"/>
      <w:r w:rsidR="00290079">
        <w:t xml:space="preserve"> CCHVC</w:t>
      </w:r>
    </w:p>
    <w:p w14:paraId="7DA29283" w14:textId="0936F096" w:rsidR="000A4131" w:rsidRPr="00730BF7" w:rsidRDefault="000A4131" w:rsidP="000A4131">
      <w:r w:rsidRPr="00730BF7">
        <w:rPr>
          <w:b/>
          <w:bCs/>
        </w:rPr>
        <w:t>Titre du rapport</w:t>
      </w:r>
      <w:r w:rsidRPr="00730BF7">
        <w:t xml:space="preserve"> : </w:t>
      </w:r>
      <w:r w:rsidR="00290079" w:rsidRPr="00290079">
        <w:t>221207_Rapport diagnostic CCHVC</w:t>
      </w:r>
    </w:p>
    <w:p w14:paraId="60DBB562" w14:textId="110D8ADB" w:rsidR="000A4131" w:rsidRPr="00730BF7" w:rsidRDefault="000A4131" w:rsidP="000A4131">
      <w:r w:rsidRPr="00730BF7">
        <w:rPr>
          <w:b/>
          <w:bCs/>
        </w:rPr>
        <w:t>Client </w:t>
      </w:r>
      <w:r w:rsidRPr="00730BF7">
        <w:t xml:space="preserve">: </w:t>
      </w:r>
      <w:r w:rsidR="00C2454D">
        <w:t>Communauté de communes de la Haute Vallée de Chevreuse</w:t>
      </w:r>
    </w:p>
    <w:p w14:paraId="56D02023" w14:textId="38A480F4" w:rsidR="000A4131" w:rsidRPr="00730BF7" w:rsidRDefault="000A4131" w:rsidP="000A4131">
      <w:r w:rsidRPr="00730BF7">
        <w:rPr>
          <w:b/>
          <w:bCs/>
        </w:rPr>
        <w:t>Date du document :</w:t>
      </w:r>
      <w:r w:rsidRPr="00730BF7">
        <w:t xml:space="preserve"> </w:t>
      </w:r>
      <w:r w:rsidR="00290079">
        <w:t>Novembre 2022</w:t>
      </w:r>
    </w:p>
    <w:p w14:paraId="096DB26A" w14:textId="77777777" w:rsidR="000A4131" w:rsidRPr="00730BF7" w:rsidRDefault="000A4131" w:rsidP="000A4131">
      <w:r w:rsidRPr="00730BF7">
        <w:rPr>
          <w:b/>
          <w:bCs/>
        </w:rPr>
        <w:t>Distribution :</w:t>
      </w:r>
      <w:r w:rsidRPr="00730BF7">
        <w:t xml:space="preserve"> Publique</w:t>
      </w:r>
    </w:p>
    <w:p w14:paraId="50623BDD" w14:textId="77777777" w:rsidR="000A4131" w:rsidRPr="00730BF7" w:rsidRDefault="000A4131" w:rsidP="000A4131"/>
    <w:p w14:paraId="639F5F54" w14:textId="77777777" w:rsidR="000A4131" w:rsidRPr="00730BF7" w:rsidRDefault="000A4131" w:rsidP="000A4131">
      <w:pPr>
        <w:rPr>
          <w:b/>
          <w:bCs/>
          <w:smallCaps/>
          <w:color w:val="EC694A" w:themeColor="accent2"/>
          <w:spacing w:val="5"/>
          <w:u w:val="single"/>
        </w:rPr>
      </w:pPr>
      <w:r w:rsidRPr="00730BF7">
        <w:rPr>
          <w:rStyle w:val="Rfrenceintense"/>
        </w:rPr>
        <w:t>Rédaction du document</w:t>
      </w:r>
    </w:p>
    <w:p w14:paraId="741915BE" w14:textId="3BB9B667" w:rsidR="000A4131" w:rsidRPr="00730BF7" w:rsidRDefault="000A4131" w:rsidP="000A4131">
      <w:r w:rsidRPr="00730BF7">
        <w:rPr>
          <w:b/>
          <w:bCs/>
        </w:rPr>
        <w:t>Rédigé par :</w:t>
      </w:r>
      <w:r w:rsidRPr="00730BF7">
        <w:t xml:space="preserve"> </w:t>
      </w:r>
      <w:r w:rsidR="00290079">
        <w:t>Julie ROY</w:t>
      </w:r>
    </w:p>
    <w:p w14:paraId="01642060" w14:textId="6F4D5892" w:rsidR="000A4131" w:rsidRPr="00730BF7" w:rsidRDefault="000A4131" w:rsidP="000A4131">
      <w:r w:rsidRPr="00730BF7">
        <w:rPr>
          <w:b/>
          <w:bCs/>
        </w:rPr>
        <w:t>Vérifié par :</w:t>
      </w:r>
      <w:r w:rsidRPr="00730BF7">
        <w:t xml:space="preserve"> </w:t>
      </w:r>
      <w:r w:rsidR="00290079">
        <w:t>Agathe CARPENTIER</w:t>
      </w:r>
    </w:p>
    <w:p w14:paraId="793AAA36" w14:textId="77777777" w:rsidR="000A4131" w:rsidRPr="00730BF7" w:rsidRDefault="000A4131" w:rsidP="000A4131"/>
    <w:p w14:paraId="5AA0C151" w14:textId="77777777" w:rsidR="000A4131" w:rsidRPr="00730BF7" w:rsidRDefault="000A4131" w:rsidP="000A4131">
      <w:pPr>
        <w:rPr>
          <w:b/>
          <w:bCs/>
          <w:smallCaps/>
          <w:color w:val="EC694A" w:themeColor="accent2"/>
          <w:spacing w:val="5"/>
          <w:u w:val="single"/>
        </w:rPr>
      </w:pPr>
      <w:r w:rsidRPr="00730BF7">
        <w:rPr>
          <w:rStyle w:val="Rfrenceintense"/>
        </w:rPr>
        <w:t xml:space="preserve">Qualification et règlementation </w:t>
      </w:r>
    </w:p>
    <w:p w14:paraId="642534CA" w14:textId="77777777" w:rsidR="000A4131" w:rsidRPr="00730BF7" w:rsidRDefault="000A4131" w:rsidP="000A4131">
      <w:pPr>
        <w:rPr>
          <w:i/>
          <w:iCs/>
        </w:rPr>
      </w:pPr>
      <w:r w:rsidRPr="00730BF7">
        <w:rPr>
          <w:i/>
          <w:iCs/>
        </w:rPr>
        <w:t xml:space="preserve">La société </w:t>
      </w:r>
      <w:proofErr w:type="spellStart"/>
      <w:r w:rsidRPr="00730BF7">
        <w:rPr>
          <w:i/>
          <w:iCs/>
        </w:rPr>
        <w:t>Akajoule</w:t>
      </w:r>
      <w:proofErr w:type="spellEnd"/>
      <w:r w:rsidRPr="00730BF7">
        <w:rPr>
          <w:i/>
          <w:iCs/>
        </w:rPr>
        <w:t xml:space="preserve"> est qualifiée auprès de l’OPQIBI sous le numéro 14 04 26 90 pour la réalisation de : </w:t>
      </w:r>
    </w:p>
    <w:p w14:paraId="02670699" w14:textId="77777777" w:rsidR="000A4131" w:rsidRPr="00730BF7" w:rsidRDefault="000A4131" w:rsidP="008A0F26">
      <w:pPr>
        <w:pStyle w:val="Paragraphedeliste"/>
        <w:numPr>
          <w:ilvl w:val="0"/>
          <w:numId w:val="2"/>
        </w:numPr>
        <w:rPr>
          <w:i/>
          <w:iCs/>
        </w:rPr>
      </w:pPr>
      <w:r w:rsidRPr="00730BF7">
        <w:rPr>
          <w:i/>
          <w:iCs/>
        </w:rPr>
        <w:t>Audit énergétique des bâtiments (tertiaires et/ou habitations collectives) (1905)</w:t>
      </w:r>
    </w:p>
    <w:p w14:paraId="4574CD8F" w14:textId="77777777" w:rsidR="000A4131" w:rsidRPr="00730BF7" w:rsidRDefault="000A4131" w:rsidP="008A0F26">
      <w:pPr>
        <w:pStyle w:val="Paragraphedeliste"/>
        <w:numPr>
          <w:ilvl w:val="0"/>
          <w:numId w:val="2"/>
        </w:numPr>
        <w:rPr>
          <w:i/>
          <w:iCs/>
        </w:rPr>
      </w:pPr>
      <w:r w:rsidRPr="00730BF7">
        <w:rPr>
          <w:i/>
          <w:iCs/>
        </w:rPr>
        <w:t>Audit énergétique dans l'industrie (1717)</w:t>
      </w:r>
    </w:p>
    <w:p w14:paraId="2CFEC6B6" w14:textId="77777777" w:rsidR="000A4131" w:rsidRPr="00730BF7" w:rsidRDefault="000A4131" w:rsidP="008A0F26">
      <w:pPr>
        <w:pStyle w:val="Paragraphedeliste"/>
        <w:numPr>
          <w:ilvl w:val="0"/>
          <w:numId w:val="2"/>
        </w:numPr>
        <w:rPr>
          <w:i/>
          <w:iCs/>
        </w:rPr>
      </w:pPr>
      <w:r w:rsidRPr="00730BF7">
        <w:rPr>
          <w:i/>
          <w:iCs/>
        </w:rPr>
        <w:t>Audit énergétique et CO2 des activités de transport de marchandises et/ou de personnes (0607)</w:t>
      </w:r>
    </w:p>
    <w:p w14:paraId="451A03D7" w14:textId="77777777" w:rsidR="000A4131" w:rsidRPr="00730BF7" w:rsidRDefault="000A4131" w:rsidP="008A0F26">
      <w:pPr>
        <w:pStyle w:val="Paragraphedeliste"/>
        <w:numPr>
          <w:ilvl w:val="0"/>
          <w:numId w:val="2"/>
        </w:numPr>
        <w:rPr>
          <w:i/>
          <w:iCs/>
        </w:rPr>
      </w:pPr>
      <w:r w:rsidRPr="00730BF7">
        <w:rPr>
          <w:i/>
          <w:iCs/>
        </w:rPr>
        <w:t>Étude de réseaux de transport de chaleur et de froid (1319)</w:t>
      </w:r>
    </w:p>
    <w:p w14:paraId="12123323" w14:textId="77777777" w:rsidR="000A4131" w:rsidRPr="00730BF7" w:rsidRDefault="000A4131" w:rsidP="008A0F26">
      <w:pPr>
        <w:pStyle w:val="Paragraphedeliste"/>
        <w:numPr>
          <w:ilvl w:val="0"/>
          <w:numId w:val="2"/>
        </w:numPr>
        <w:rPr>
          <w:i/>
          <w:iCs/>
        </w:rPr>
      </w:pPr>
      <w:r w:rsidRPr="00730BF7">
        <w:rPr>
          <w:i/>
          <w:iCs/>
        </w:rPr>
        <w:t>Ingénierie des installations de production utilisant la biomasse en combustion (2008)</w:t>
      </w:r>
    </w:p>
    <w:p w14:paraId="5F408BFF" w14:textId="77777777" w:rsidR="000A4131" w:rsidRPr="00730BF7" w:rsidRDefault="000A4131" w:rsidP="008A0F26">
      <w:pPr>
        <w:pStyle w:val="Paragraphedeliste"/>
        <w:numPr>
          <w:ilvl w:val="0"/>
          <w:numId w:val="2"/>
        </w:numPr>
        <w:rPr>
          <w:i/>
          <w:iCs/>
        </w:rPr>
      </w:pPr>
      <w:r w:rsidRPr="00730BF7">
        <w:rPr>
          <w:i/>
          <w:iCs/>
        </w:rPr>
        <w:t>Étude d'installations de production utilisant l'énergie solaire photovoltaïque (2011)</w:t>
      </w:r>
    </w:p>
    <w:p w14:paraId="3885B3E7" w14:textId="6F4853F7" w:rsidR="000A4131" w:rsidRPr="000A4131" w:rsidRDefault="000A4131" w:rsidP="008A0F26">
      <w:pPr>
        <w:pStyle w:val="Paragraphedeliste"/>
        <w:numPr>
          <w:ilvl w:val="0"/>
          <w:numId w:val="2"/>
        </w:numPr>
        <w:rPr>
          <w:i/>
          <w:iCs/>
        </w:rPr>
      </w:pPr>
      <w:r w:rsidRPr="00730BF7">
        <w:rPr>
          <w:i/>
          <w:iCs/>
        </w:rPr>
        <w:t>Ingénierie des installations solaires utilisant l'énergie solaire photovoltaïque (2015)</w:t>
      </w:r>
    </w:p>
    <w:p w14:paraId="7C538473" w14:textId="77777777" w:rsidR="000A4131" w:rsidRPr="00730BF7" w:rsidRDefault="000A4131" w:rsidP="000A4131"/>
    <w:p w14:paraId="445B08B3" w14:textId="77777777" w:rsidR="000A4131" w:rsidRPr="00730BF7" w:rsidRDefault="000A4131" w:rsidP="000A4131"/>
    <w:p w14:paraId="7369A25A" w14:textId="77777777" w:rsidR="000A4131" w:rsidRPr="00730BF7" w:rsidRDefault="000A4131" w:rsidP="000A4131">
      <w:r w:rsidRPr="00730BF7">
        <w:rPr>
          <w:rStyle w:val="Rfrenceintense"/>
        </w:rPr>
        <w:t>Suivi des révisions du document</w:t>
      </w:r>
    </w:p>
    <w:tbl>
      <w:tblPr>
        <w:tblStyle w:val="AKAtab1"/>
        <w:tblW w:w="5000" w:type="pct"/>
        <w:tblLook w:val="07E0" w:firstRow="1" w:lastRow="1" w:firstColumn="1" w:lastColumn="1" w:noHBand="1" w:noVBand="1"/>
      </w:tblPr>
      <w:tblGrid>
        <w:gridCol w:w="4247"/>
        <w:gridCol w:w="3828"/>
        <w:gridCol w:w="2121"/>
      </w:tblGrid>
      <w:tr w:rsidR="000A4131" w:rsidRPr="00730BF7" w14:paraId="34D06C24" w14:textId="77777777" w:rsidTr="000A4131">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083" w:type="pct"/>
          </w:tcPr>
          <w:p w14:paraId="3686430B" w14:textId="77777777" w:rsidR="000A4131" w:rsidRPr="00730BF7" w:rsidRDefault="000A4131" w:rsidP="006E6B1E">
            <w:pPr>
              <w:spacing w:before="120"/>
              <w:jc w:val="center"/>
              <w:rPr>
                <w:sz w:val="21"/>
                <w:szCs w:val="21"/>
              </w:rPr>
            </w:pPr>
            <w:r w:rsidRPr="00730BF7">
              <w:rPr>
                <w:sz w:val="21"/>
                <w:szCs w:val="21"/>
              </w:rPr>
              <w:t>Intitulé de version</w:t>
            </w:r>
          </w:p>
        </w:tc>
        <w:tc>
          <w:tcPr>
            <w:tcW w:w="1877" w:type="pct"/>
          </w:tcPr>
          <w:p w14:paraId="57C6C9A6" w14:textId="77777777" w:rsidR="000A4131" w:rsidRPr="00730BF7" w:rsidRDefault="000A4131" w:rsidP="006E6B1E">
            <w:pPr>
              <w:spacing w:before="120"/>
              <w:jc w:val="center"/>
              <w:cnfStyle w:val="100000000000" w:firstRow="1" w:lastRow="0" w:firstColumn="0" w:lastColumn="0" w:oddVBand="0" w:evenVBand="0" w:oddHBand="0" w:evenHBand="0" w:firstRowFirstColumn="0" w:firstRowLastColumn="0" w:lastRowFirstColumn="0" w:lastRowLastColumn="0"/>
              <w:rPr>
                <w:sz w:val="21"/>
                <w:szCs w:val="21"/>
              </w:rPr>
            </w:pPr>
            <w:r w:rsidRPr="00730BF7">
              <w:rPr>
                <w:sz w:val="21"/>
                <w:szCs w:val="21"/>
              </w:rPr>
              <w:t>Objet de la révision</w:t>
            </w:r>
          </w:p>
        </w:tc>
        <w:tc>
          <w:tcPr>
            <w:tcW w:w="1040" w:type="pct"/>
          </w:tcPr>
          <w:p w14:paraId="0032B82E" w14:textId="77777777" w:rsidR="000A4131" w:rsidRPr="00730BF7" w:rsidRDefault="000A4131" w:rsidP="006E6B1E">
            <w:pPr>
              <w:spacing w:before="120"/>
              <w:jc w:val="center"/>
              <w:cnfStyle w:val="100000000000" w:firstRow="1" w:lastRow="0" w:firstColumn="0" w:lastColumn="0" w:oddVBand="0" w:evenVBand="0" w:oddHBand="0" w:evenHBand="0" w:firstRowFirstColumn="0" w:firstRowLastColumn="0" w:lastRowFirstColumn="0" w:lastRowLastColumn="0"/>
              <w:rPr>
                <w:sz w:val="21"/>
                <w:szCs w:val="21"/>
              </w:rPr>
            </w:pPr>
            <w:r w:rsidRPr="00730BF7">
              <w:rPr>
                <w:sz w:val="21"/>
                <w:szCs w:val="21"/>
              </w:rPr>
              <w:t>Date de la révision</w:t>
            </w:r>
          </w:p>
        </w:tc>
      </w:tr>
      <w:tr w:rsidR="000A4131" w:rsidRPr="00730BF7" w14:paraId="088532F8" w14:textId="77777777" w:rsidTr="000A4131">
        <w:trPr>
          <w:trHeight w:val="325"/>
        </w:trPr>
        <w:tc>
          <w:tcPr>
            <w:cnfStyle w:val="001000000000" w:firstRow="0" w:lastRow="0" w:firstColumn="1" w:lastColumn="0" w:oddVBand="0" w:evenVBand="0" w:oddHBand="0" w:evenHBand="0" w:firstRowFirstColumn="0" w:firstRowLastColumn="0" w:lastRowFirstColumn="0" w:lastRowLastColumn="0"/>
            <w:tcW w:w="2083" w:type="pct"/>
          </w:tcPr>
          <w:p w14:paraId="3AD17A18" w14:textId="73325455" w:rsidR="000A4131" w:rsidRPr="000A4131" w:rsidRDefault="000A4131" w:rsidP="000A4131"/>
        </w:tc>
        <w:tc>
          <w:tcPr>
            <w:tcW w:w="1877" w:type="pct"/>
          </w:tcPr>
          <w:p w14:paraId="1145CADB" w14:textId="5FE5546B" w:rsidR="000A4131" w:rsidRPr="00730BF7" w:rsidRDefault="000A4131" w:rsidP="00290079">
            <w:pPr>
              <w:pStyle w:val="TableParagraph"/>
              <w:spacing w:before="5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1040" w:type="pct"/>
          </w:tcPr>
          <w:p w14:paraId="3D83E8C2" w14:textId="7BE47E3C" w:rsidR="000A4131" w:rsidRPr="00730BF7" w:rsidRDefault="000A4131" w:rsidP="006E6B1E">
            <w:pPr>
              <w:pStyle w:val="TableParagraph"/>
              <w:spacing w:before="5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r>
    </w:tbl>
    <w:p w14:paraId="46E625F4" w14:textId="77777777" w:rsidR="000A4131" w:rsidRDefault="000A4131">
      <w:pPr>
        <w:spacing w:after="200" w:line="276" w:lineRule="auto"/>
        <w:jc w:val="left"/>
        <w:rPr>
          <w:b/>
          <w:bCs/>
        </w:rPr>
      </w:pPr>
    </w:p>
    <w:p w14:paraId="59CF366D" w14:textId="77777777" w:rsidR="00353B16" w:rsidRPr="00367937" w:rsidRDefault="00353B16" w:rsidP="00353B16">
      <w:pPr>
        <w:sectPr w:rsidR="00353B16" w:rsidRPr="00367937" w:rsidSect="009F1A6D">
          <w:headerReference w:type="even" r:id="rId13"/>
          <w:headerReference w:type="default" r:id="rId14"/>
          <w:footerReference w:type="default" r:id="rId15"/>
          <w:headerReference w:type="first" r:id="rId16"/>
          <w:pgSz w:w="11907" w:h="16839"/>
          <w:pgMar w:top="966" w:right="992" w:bottom="1134" w:left="709" w:header="11" w:footer="420" w:gutter="0"/>
          <w:pgNumType w:start="2"/>
          <w:cols w:space="720"/>
        </w:sectPr>
      </w:pPr>
    </w:p>
    <w:p w14:paraId="6568356E" w14:textId="05B373F8" w:rsidR="00ED4622" w:rsidRDefault="009F1A6D" w:rsidP="00A924F9">
      <w:pPr>
        <w:pStyle w:val="Titre1"/>
      </w:pPr>
      <w:bookmarkStart w:id="0" w:name="_Toc129784702"/>
      <w:r>
        <w:lastRenderedPageBreak/>
        <w:t>Le contexte de l’étude</w:t>
      </w:r>
      <w:bookmarkEnd w:id="0"/>
    </w:p>
    <w:p w14:paraId="3E3BA3E2" w14:textId="1DBC2D6D" w:rsidR="009F1A6D" w:rsidRDefault="009F1A6D" w:rsidP="008A0F26">
      <w:pPr>
        <w:pStyle w:val="Titre2"/>
        <w:ind w:left="1996" w:hanging="578"/>
      </w:pPr>
      <w:bookmarkStart w:id="1" w:name="_Toc68102991"/>
      <w:bookmarkStart w:id="2" w:name="_Toc129784703"/>
      <w:r>
        <w:t>Le territoire</w:t>
      </w:r>
      <w:bookmarkEnd w:id="2"/>
      <w:r>
        <w:t xml:space="preserve"> </w:t>
      </w:r>
    </w:p>
    <w:p w14:paraId="738EA7CF" w14:textId="77777777" w:rsidR="002758CC" w:rsidRPr="00290079" w:rsidRDefault="002758CC" w:rsidP="002708C8">
      <w:pPr>
        <w:pStyle w:val="Titre3"/>
        <w:ind w:left="2818"/>
      </w:pPr>
      <w:bookmarkStart w:id="3" w:name="_Toc129784704"/>
      <w:bookmarkEnd w:id="1"/>
      <w:r w:rsidRPr="00290079">
        <w:t>Contexte régional</w:t>
      </w:r>
      <w:bookmarkEnd w:id="3"/>
    </w:p>
    <w:p w14:paraId="42C8B712" w14:textId="77777777" w:rsidR="002758CC" w:rsidRDefault="002758CC" w:rsidP="002758CC">
      <w:r>
        <w:t>A l’échelle nationale, la Loi « Climat et résilience » du 22 août 2021 favorise la production et l'usage des Energies Renouvelables et de Récupération (</w:t>
      </w:r>
      <w:proofErr w:type="spellStart"/>
      <w:r>
        <w:t>EnR&amp;R</w:t>
      </w:r>
      <w:proofErr w:type="spellEnd"/>
      <w:r>
        <w:t xml:space="preserve">) et poursuit la définition de la politique de transition écologique nationale en cohérence avec les objectifs de l’accord de Paris et le pacte vert pour l’Europe qui a pour objectifs : </w:t>
      </w:r>
    </w:p>
    <w:p w14:paraId="29240595" w14:textId="77777777" w:rsidR="002758CC" w:rsidRPr="00100F03" w:rsidRDefault="002758CC" w:rsidP="008A0F26">
      <w:pPr>
        <w:pStyle w:val="Paragraphedeliste"/>
        <w:numPr>
          <w:ilvl w:val="0"/>
          <w:numId w:val="6"/>
        </w:numPr>
        <w:spacing w:after="200" w:line="288" w:lineRule="auto"/>
        <w:rPr>
          <w:szCs w:val="24"/>
        </w:rPr>
      </w:pPr>
      <w:r w:rsidRPr="00100F03">
        <w:rPr>
          <w:szCs w:val="24"/>
        </w:rPr>
        <w:t xml:space="preserve">De réduire les émissions de gaz à effet de serre de 55 % entre 1990 et 2030. </w:t>
      </w:r>
    </w:p>
    <w:p w14:paraId="65F6E903" w14:textId="77777777" w:rsidR="002758CC" w:rsidRPr="00100F03" w:rsidRDefault="002758CC" w:rsidP="008A0F26">
      <w:pPr>
        <w:pStyle w:val="Paragraphedeliste"/>
        <w:numPr>
          <w:ilvl w:val="0"/>
          <w:numId w:val="6"/>
        </w:numPr>
        <w:spacing w:after="200" w:line="288" w:lineRule="auto"/>
        <w:rPr>
          <w:szCs w:val="24"/>
        </w:rPr>
      </w:pPr>
      <w:r w:rsidRPr="00100F03">
        <w:rPr>
          <w:szCs w:val="24"/>
        </w:rPr>
        <w:t xml:space="preserve">De porter la part des </w:t>
      </w:r>
      <w:proofErr w:type="spellStart"/>
      <w:r w:rsidRPr="00100F03">
        <w:rPr>
          <w:szCs w:val="24"/>
        </w:rPr>
        <w:t>EnR</w:t>
      </w:r>
      <w:proofErr w:type="spellEnd"/>
      <w:r w:rsidRPr="00100F03">
        <w:rPr>
          <w:szCs w:val="24"/>
        </w:rPr>
        <w:t xml:space="preserve"> à 40 % dans le bouquet énergétique européen pour 2030. </w:t>
      </w:r>
    </w:p>
    <w:p w14:paraId="4C5607A8" w14:textId="77777777" w:rsidR="002758CC" w:rsidRDefault="002758CC" w:rsidP="002758CC">
      <w:r>
        <w:t xml:space="preserve">A l’échelle régionale, ces objectifs sont endossés par le Schéma Régional Climat Air Énergie (SRCAE) d’Île-de-France approuvé en novembre 2012 et fixant des objectifs pour le territoire </w:t>
      </w:r>
      <w:r w:rsidRPr="00100F03">
        <w:t xml:space="preserve">en matière de réduction des consommations d’énergie et des émissions de gaz à effet de serre, d’amélioration de la qualité de l’air, de développement des énergies renouvelables et d’adaptation aux effets du changement climatique. </w:t>
      </w:r>
      <w:r>
        <w:t xml:space="preserve"> </w:t>
      </w:r>
    </w:p>
    <w:p w14:paraId="1B70A3A1" w14:textId="77777777" w:rsidR="002758CC" w:rsidRDefault="002758CC" w:rsidP="002758CC">
      <w:r>
        <w:t xml:space="preserve">Le SRCAE fixe pour la région Ile-de-France, les objectifs suivants : </w:t>
      </w:r>
    </w:p>
    <w:p w14:paraId="4B422B08" w14:textId="77777777" w:rsidR="002758CC" w:rsidRPr="00F16BFD" w:rsidRDefault="002758CC" w:rsidP="008A0F26">
      <w:pPr>
        <w:pStyle w:val="Paragraphedeliste"/>
        <w:numPr>
          <w:ilvl w:val="0"/>
          <w:numId w:val="6"/>
        </w:numPr>
        <w:spacing w:after="200" w:line="288" w:lineRule="auto"/>
      </w:pPr>
      <w:r w:rsidRPr="00F16BFD">
        <w:t xml:space="preserve">Réduire les émissions de GES de 75% d'ici 2050 et </w:t>
      </w:r>
    </w:p>
    <w:p w14:paraId="4479C00D" w14:textId="77777777" w:rsidR="002758CC" w:rsidRPr="00F16BFD" w:rsidRDefault="002758CC" w:rsidP="008A0F26">
      <w:pPr>
        <w:pStyle w:val="Paragraphedeliste"/>
        <w:numPr>
          <w:ilvl w:val="0"/>
          <w:numId w:val="6"/>
        </w:numPr>
        <w:spacing w:after="200" w:line="288" w:lineRule="auto"/>
      </w:pPr>
      <w:r w:rsidRPr="00F16BFD">
        <w:t xml:space="preserve">Augmenter significativement la part des </w:t>
      </w:r>
      <w:proofErr w:type="spellStart"/>
      <w:r w:rsidRPr="00F16BFD">
        <w:t>EnR&amp;R</w:t>
      </w:r>
      <w:proofErr w:type="spellEnd"/>
      <w:r w:rsidRPr="00F16BFD">
        <w:t xml:space="preserve"> dans le bilan régional (de 45% en 2050).</w:t>
      </w:r>
    </w:p>
    <w:p w14:paraId="0DC98D04" w14:textId="77777777" w:rsidR="002758CC" w:rsidRPr="002758CC" w:rsidRDefault="002758CC" w:rsidP="002708C8">
      <w:pPr>
        <w:pStyle w:val="Titre3"/>
        <w:ind w:left="2818"/>
      </w:pPr>
      <w:bookmarkStart w:id="4" w:name="_Toc129784705"/>
      <w:r w:rsidRPr="002758CC">
        <w:t>Contexte de l’intercommunalité</w:t>
      </w:r>
      <w:bookmarkEnd w:id="4"/>
    </w:p>
    <w:p w14:paraId="08338136" w14:textId="77777777" w:rsidR="002758CC" w:rsidRDefault="002758CC" w:rsidP="002758CC">
      <w:r>
        <w:t>La Communauté de Communes de la Haute Vallée de Chevreuse (CCHVC) est située à une trentaine de kilomètres de Paris au sud-ouest de Versailles, en bordure ouest du plateau de Saclay, au sein du Parc naturel régional de la Haute Vallée de Chevreuse (PNR HVC). Créée le 18 juillet 2012, elle est composée de 10 communes : Chevreuse, Choisel, Dampierre-en-Yvelines, Le-Mesnil-Saint-Denis, Lévis Saint-Nom, Milon-La-Chapelle, Saint-Forget, Saint-Lambert-des-Bois, Saint-Rémy-lès-Chevreuse, Senlisse.</w:t>
      </w:r>
    </w:p>
    <w:p w14:paraId="3AF0B548" w14:textId="77777777" w:rsidR="002758CC" w:rsidRDefault="002758CC" w:rsidP="002758CC"/>
    <w:p w14:paraId="3F675BA1" w14:textId="77777777" w:rsidR="002758CC" w:rsidRDefault="002758CC" w:rsidP="002758CC">
      <w:pPr>
        <w:jc w:val="center"/>
        <w:rPr>
          <w:noProof/>
        </w:rPr>
      </w:pPr>
      <w:r w:rsidRPr="00C00722">
        <w:rPr>
          <w:noProof/>
        </w:rPr>
        <w:drawing>
          <wp:inline distT="0" distB="0" distL="0" distR="0" wp14:anchorId="7E3A7E12" wp14:editId="250382A2">
            <wp:extent cx="3761013" cy="2628900"/>
            <wp:effectExtent l="0" t="0" r="0" b="0"/>
            <wp:docPr id="1" name="Image 7">
              <a:extLst xmlns:a="http://schemas.openxmlformats.org/drawingml/2006/main">
                <a:ext uri="{FF2B5EF4-FFF2-40B4-BE49-F238E27FC236}">
                  <a16:creationId xmlns:a16="http://schemas.microsoft.com/office/drawing/2014/main" id="{638FD819-3178-BE40-1C25-104BB79D6D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638FD819-3178-BE40-1C25-104BB79D6D5A}"/>
                        </a:ext>
                      </a:extLst>
                    </pic:cNvPr>
                    <pic:cNvPicPr>
                      <a:picLocks noChangeAspect="1"/>
                    </pic:cNvPicPr>
                  </pic:nvPicPr>
                  <pic:blipFill rotWithShape="1">
                    <a:blip r:embed="rId17">
                      <a:extLst>
                        <a:ext uri="{28A0092B-C50C-407E-A947-70E740481C1C}">
                          <a14:useLocalDpi xmlns:a14="http://schemas.microsoft.com/office/drawing/2010/main" val="0"/>
                        </a:ext>
                      </a:extLst>
                    </a:blip>
                    <a:srcRect l="-434" t="6603" r="434" b="8329"/>
                    <a:stretch/>
                  </pic:blipFill>
                  <pic:spPr bwMode="auto">
                    <a:xfrm>
                      <a:off x="0" y="0"/>
                      <a:ext cx="3785666" cy="2646132"/>
                    </a:xfrm>
                    <a:prstGeom prst="rect">
                      <a:avLst/>
                    </a:prstGeom>
                    <a:ln>
                      <a:noFill/>
                    </a:ln>
                    <a:extLst>
                      <a:ext uri="{53640926-AAD7-44D8-BBD7-CCE9431645EC}">
                        <a14:shadowObscured xmlns:a14="http://schemas.microsoft.com/office/drawing/2010/main"/>
                      </a:ext>
                    </a:extLst>
                  </pic:spPr>
                </pic:pic>
              </a:graphicData>
            </a:graphic>
          </wp:inline>
        </w:drawing>
      </w:r>
    </w:p>
    <w:p w14:paraId="7B330C79" w14:textId="0324BC69" w:rsidR="002758CC" w:rsidRDefault="002758CC" w:rsidP="002758CC">
      <w:pPr>
        <w:pStyle w:val="Lgende"/>
        <w:jc w:val="center"/>
      </w:pPr>
      <w:bookmarkStart w:id="5" w:name="_Toc126096818"/>
      <w:bookmarkStart w:id="6" w:name="_Toc129786555"/>
      <w:r>
        <w:t xml:space="preserve">Figure </w:t>
      </w:r>
      <w:r w:rsidR="00D56558">
        <w:fldChar w:fldCharType="begin"/>
      </w:r>
      <w:r w:rsidR="00D56558">
        <w:instrText xml:space="preserve"> SEQ Figure \* ARABIC </w:instrText>
      </w:r>
      <w:r w:rsidR="00D56558">
        <w:fldChar w:fldCharType="separate"/>
      </w:r>
      <w:r w:rsidR="00BA2D9B">
        <w:rPr>
          <w:noProof/>
        </w:rPr>
        <w:t>1</w:t>
      </w:r>
      <w:r w:rsidR="00D56558">
        <w:rPr>
          <w:noProof/>
        </w:rPr>
        <w:fldChar w:fldCharType="end"/>
      </w:r>
      <w:r>
        <w:t xml:space="preserve"> : Territoire de la Communauté de Communes de la Haute Vallée de Chevreuse</w:t>
      </w:r>
      <w:bookmarkEnd w:id="5"/>
      <w:bookmarkEnd w:id="6"/>
    </w:p>
    <w:p w14:paraId="707267C1" w14:textId="77777777" w:rsidR="002758CC" w:rsidRPr="00C5151E" w:rsidRDefault="002758CC" w:rsidP="002758CC"/>
    <w:p w14:paraId="7003433B" w14:textId="77777777" w:rsidR="002758CC" w:rsidRPr="00826889" w:rsidRDefault="002758CC" w:rsidP="002758CC">
      <w:r>
        <w:t xml:space="preserve">La communauté de communes a lancé l’élaboration de son Plan Climat Air Énergie Territorial (PCAET) au printemps 2021. Ce plan doit permettre à la CC de la Haute Vallée de Chevreuse de véritablement s’engager dans une </w:t>
      </w:r>
      <w:r>
        <w:lastRenderedPageBreak/>
        <w:t xml:space="preserve">démarche politique de développement durable et de structurer son projet de territoire. Le PCAET doit permettre de dégager des orientations stratégiques pour la transition écologique, notamment dans le domaine des énergies renouvelables, et contribuer à l'élaboration et la mise en œuvre de son Contrat de Relance et de Transition Écologique (CRTE). </w:t>
      </w:r>
      <w:r>
        <w:tab/>
      </w:r>
      <w:r>
        <w:br/>
        <w:t xml:space="preserve">Les communes de l’intercommunalité sont engagées depuis de nombreuses années au sein du Parc Naturel de la Haute Vallée de Chevreuse. </w:t>
      </w:r>
      <w:r>
        <w:tab/>
      </w:r>
      <w:r>
        <w:br/>
      </w:r>
      <w:r w:rsidRPr="00826889">
        <w:t xml:space="preserve">La </w:t>
      </w:r>
      <w:r>
        <w:t xml:space="preserve">CC de la Haute Vallée de Chevreuse </w:t>
      </w:r>
      <w:r w:rsidRPr="00826889">
        <w:t>a mis en place dès octobre 2016 un service de bornes électriques de recharge et d’autopartage sur l’ensemble de son territoire.</w:t>
      </w:r>
    </w:p>
    <w:p w14:paraId="483732D5" w14:textId="77777777" w:rsidR="002758CC" w:rsidRDefault="002758CC" w:rsidP="002758CC"/>
    <w:p w14:paraId="08A5EDB9" w14:textId="51D60F6B" w:rsidR="002758CC" w:rsidRDefault="002758CC" w:rsidP="008A0F26">
      <w:pPr>
        <w:pStyle w:val="Titre2"/>
        <w:ind w:left="1996" w:hanging="578"/>
      </w:pPr>
      <w:bookmarkStart w:id="7" w:name="_Toc129784706"/>
      <w:r>
        <w:t>Contenu et périmètre de l’étude</w:t>
      </w:r>
      <w:bookmarkEnd w:id="7"/>
    </w:p>
    <w:p w14:paraId="17017208" w14:textId="2CBC5FAC" w:rsidR="002758CC" w:rsidRDefault="002758CC" w:rsidP="002708C8">
      <w:pPr>
        <w:pStyle w:val="Titre3"/>
        <w:ind w:left="2818"/>
      </w:pPr>
      <w:bookmarkStart w:id="8" w:name="_Toc129784707"/>
      <w:r>
        <w:t>Les Energies Renouvelables et de Récupération sur le territoire (</w:t>
      </w:r>
      <w:proofErr w:type="spellStart"/>
      <w:r>
        <w:t>EnR&amp;R</w:t>
      </w:r>
      <w:proofErr w:type="spellEnd"/>
      <w:r>
        <w:t xml:space="preserve">) : état des lieux, potentiel et </w:t>
      </w:r>
      <w:r w:rsidR="00193B56">
        <w:t>stratégie opérationnelle</w:t>
      </w:r>
      <w:bookmarkEnd w:id="8"/>
    </w:p>
    <w:p w14:paraId="317B500A" w14:textId="6086E268" w:rsidR="002758CC" w:rsidRPr="00100F03" w:rsidRDefault="002758CC" w:rsidP="002758CC">
      <w:r w:rsidRPr="00100F03">
        <w:t>Les Energies Renouvelables et de Récupération (</w:t>
      </w:r>
      <w:proofErr w:type="spellStart"/>
      <w:r w:rsidRPr="00100F03">
        <w:t>EnR&amp;R</w:t>
      </w:r>
      <w:proofErr w:type="spellEnd"/>
      <w:r w:rsidRPr="00100F03">
        <w:t>) participent à la lutte contre le changement climatique et fournissent un approvisionnement en énergie indépendant des aléas géopolitiques.</w:t>
      </w:r>
    </w:p>
    <w:p w14:paraId="240EB9C1" w14:textId="7000AEFC" w:rsidR="002758CC" w:rsidRDefault="002758CC" w:rsidP="002758CC">
      <w:r w:rsidRPr="00100F03">
        <w:t>La réduction des émissions locales de Gaz à Effet de Serres (GES) et une meilleure maîtrise territoriale de la gestion de l'énergie passent notamment par la production et la distribution d'énergies renouvelables et de récupération produites localement. La loi TECV accorde une place centrale à la production et à l'u</w:t>
      </w:r>
      <w:r>
        <w:t xml:space="preserve">sage des </w:t>
      </w:r>
      <w:proofErr w:type="spellStart"/>
      <w:r>
        <w:t>EnR&amp;R</w:t>
      </w:r>
      <w:proofErr w:type="spellEnd"/>
      <w:r>
        <w:t xml:space="preserve">. </w:t>
      </w:r>
      <w:r w:rsidRPr="00100F03">
        <w:t xml:space="preserve">En cohérence avec la politique européenne, la Loi TECV du 17 août 2015 expose que la politique énergétique nationale a pour objectif de porter la part des énergies renouvelables à 23 % de la consommation finale brute d'énergie en 2020 et à 32 % </w:t>
      </w:r>
      <w:r>
        <w:t xml:space="preserve">de cette consommation en 2030. </w:t>
      </w:r>
    </w:p>
    <w:p w14:paraId="6B7382AF" w14:textId="2DB69C44" w:rsidR="002758CC" w:rsidRDefault="002758CC" w:rsidP="002758CC">
      <w:r w:rsidRPr="00100F03">
        <w:t>Pour parvenir à cet objectif en 2030, les énergies renouvelables doivent représenter 40 % de la production d'électricité, 38 % de la consommation finale de chaleur, 15 % de la consommation finale de carburant et 10 % de la consommation de gaz.</w:t>
      </w:r>
      <w:r w:rsidRPr="00100F03">
        <w:tab/>
      </w:r>
    </w:p>
    <w:p w14:paraId="6C047CA0" w14:textId="5195A8AE" w:rsidR="002758CC" w:rsidRPr="00100F03" w:rsidRDefault="002758CC" w:rsidP="002758CC">
      <w:r w:rsidRPr="00100F03">
        <w:t>Concernant les émissions de gaz à effet de serre, la loi énergie-climat du 8 novembre 2019 fixe l’objectif de neutralité carbone en 2050 pour répondre à l’urgence climatique. Ce texte renforce également les objectifs de maîtrise de l’énergie et la lutte contre les « passoires thermiques ».</w:t>
      </w:r>
    </w:p>
    <w:p w14:paraId="1670C4F4" w14:textId="7574FC17" w:rsidR="002758CC" w:rsidRDefault="002758CC" w:rsidP="002758CC">
      <w:r w:rsidRPr="00100F03">
        <w:t xml:space="preserve">Par ailleurs, les orientations gouvernementales actuelles en faveur de la reterritorialisation de l'activité économique, de l'essor de l’économie circulaire et des circuits locaux, accordent une place importante aux </w:t>
      </w:r>
      <w:proofErr w:type="spellStart"/>
      <w:r w:rsidRPr="00100F03">
        <w:t>EnR&amp;R</w:t>
      </w:r>
      <w:proofErr w:type="spellEnd"/>
      <w:r w:rsidRPr="00100F03">
        <w:t>.</w:t>
      </w:r>
    </w:p>
    <w:p w14:paraId="6A1E7F1C" w14:textId="23F7F93D" w:rsidR="002758CC" w:rsidRDefault="002758CC" w:rsidP="002758CC">
      <w:r>
        <w:t xml:space="preserve">Le décret n°2016-849 du 28 juin 2016 relatif au Plan Climat-Air-Energie Territorial définit le contenu, le mode d’élaboration et de publicité des PCAET. Il définit notamment la liste des études obligatoires dans le cadre du diagnostic du PCAET. </w:t>
      </w:r>
    </w:p>
    <w:p w14:paraId="1344A384" w14:textId="7B216ECD" w:rsidR="002758CC" w:rsidRDefault="002758CC" w:rsidP="002758CC">
      <w:r>
        <w:t xml:space="preserve">Parmi ces études, il convient de réaliser « un état de la production des énergies renouvelables sur le territoire, détaillant les filières de production d’électricité (éolien terrestre, solaire photovoltaïque, solaire thermodynamique, hydraulique, biomasse solide, biogaz, géothermie), de chaleur (biomasse solide, pompes à chaleur, géothermie, solaire thermique, biogaz), de biométhane et de biocarburants, une estimation du potentiel de développement de celles-ci ainsi que du potentiel disponible d’énergie de récupération et de stockage énergétique ». </w:t>
      </w:r>
    </w:p>
    <w:p w14:paraId="4B41C90F" w14:textId="77777777" w:rsidR="002758CC" w:rsidRDefault="002758CC" w:rsidP="002758CC">
      <w:r>
        <w:t>Composante obligatoire du diagnostic du PCAET, cette étude de diagnostic représente un enjeu important pour la CC de la Haute Vallée de Chevreuse, dont la part d’énergies renouvelables est relativement faible au regard des objectifs nationaux et régionaux. La production et la consommation d’énergies renouvelables et de récupération devront par la suite faire l’objet d’objectifs stratégiques chiffrés, déclinés en projets opérationnels, dans le cadre du PCAET (non inclus dans la présente étude).</w:t>
      </w:r>
    </w:p>
    <w:p w14:paraId="06DF3E47" w14:textId="77777777" w:rsidR="00BA3941" w:rsidRDefault="00BA3941">
      <w:pPr>
        <w:spacing w:after="200" w:line="276" w:lineRule="auto"/>
        <w:jc w:val="left"/>
        <w:rPr>
          <w:rFonts w:asciiTheme="majorHAnsi" w:eastAsiaTheme="majorEastAsia" w:hAnsiTheme="majorHAnsi" w:cs="Futura Medium"/>
          <w:bCs/>
          <w:color w:val="A83B22"/>
          <w:sz w:val="24"/>
        </w:rPr>
      </w:pPr>
      <w:r>
        <w:br w:type="page"/>
      </w:r>
    </w:p>
    <w:p w14:paraId="35CB1094" w14:textId="691FDFF2" w:rsidR="002758CC" w:rsidRDefault="002758CC" w:rsidP="002708C8">
      <w:pPr>
        <w:pStyle w:val="Titre3"/>
        <w:ind w:left="2818"/>
      </w:pPr>
      <w:bookmarkStart w:id="9" w:name="_Toc129784708"/>
      <w:r>
        <w:lastRenderedPageBreak/>
        <w:t>Les filières étudiées</w:t>
      </w:r>
      <w:bookmarkEnd w:id="9"/>
    </w:p>
    <w:p w14:paraId="4A47C639" w14:textId="77777777" w:rsidR="002758CC" w:rsidRPr="00100F03" w:rsidRDefault="002758CC" w:rsidP="002758CC">
      <w:r>
        <w:t>L</w:t>
      </w:r>
      <w:r w:rsidRPr="00100F03">
        <w:t xml:space="preserve">es différentes filières </w:t>
      </w:r>
      <w:proofErr w:type="spellStart"/>
      <w:r>
        <w:t>EnR&amp;R</w:t>
      </w:r>
      <w:proofErr w:type="spellEnd"/>
      <w:r w:rsidRPr="00100F03">
        <w:t xml:space="preserve"> considérées dans cette étude sont :</w:t>
      </w:r>
      <w:r>
        <w:tab/>
      </w:r>
      <w:r>
        <w:br/>
      </w:r>
    </w:p>
    <w:p w14:paraId="3E8C44FC" w14:textId="77777777" w:rsidR="002758CC" w:rsidRPr="00100F03" w:rsidRDefault="002758CC" w:rsidP="008A0F26">
      <w:pPr>
        <w:pStyle w:val="Paragraphedeliste"/>
        <w:numPr>
          <w:ilvl w:val="0"/>
          <w:numId w:val="5"/>
        </w:numPr>
        <w:spacing w:after="200" w:line="288" w:lineRule="auto"/>
        <w:jc w:val="left"/>
      </w:pPr>
      <w:r w:rsidRPr="00100F03">
        <w:t>Filières de production d’électricité :</w:t>
      </w:r>
    </w:p>
    <w:p w14:paraId="263F4DF1" w14:textId="77777777" w:rsidR="002758CC" w:rsidRPr="00100F03" w:rsidRDefault="002758CC" w:rsidP="008A0F26">
      <w:pPr>
        <w:pStyle w:val="Paragraphedeliste"/>
        <w:numPr>
          <w:ilvl w:val="1"/>
          <w:numId w:val="5"/>
        </w:numPr>
        <w:spacing w:after="200" w:line="288" w:lineRule="auto"/>
        <w:jc w:val="left"/>
      </w:pPr>
      <w:r w:rsidRPr="00100F03">
        <w:t>Eolien terrestre </w:t>
      </w:r>
    </w:p>
    <w:p w14:paraId="659DDA95" w14:textId="49A1E983" w:rsidR="002758CC" w:rsidRDefault="002758CC" w:rsidP="008A0F26">
      <w:pPr>
        <w:pStyle w:val="Paragraphedeliste"/>
        <w:numPr>
          <w:ilvl w:val="1"/>
          <w:numId w:val="5"/>
        </w:numPr>
        <w:spacing w:after="200" w:line="288" w:lineRule="auto"/>
        <w:jc w:val="left"/>
      </w:pPr>
      <w:r w:rsidRPr="00100F03">
        <w:t>Solaire photovoltaïque</w:t>
      </w:r>
    </w:p>
    <w:p w14:paraId="63883375" w14:textId="3515EBB1" w:rsidR="009B49C8" w:rsidRDefault="009B49C8" w:rsidP="008A0F26">
      <w:pPr>
        <w:pStyle w:val="Paragraphedeliste"/>
        <w:numPr>
          <w:ilvl w:val="1"/>
          <w:numId w:val="5"/>
        </w:numPr>
        <w:spacing w:after="200" w:line="288" w:lineRule="auto"/>
        <w:jc w:val="left"/>
      </w:pPr>
      <w:r>
        <w:t>Solaire thermodynamique</w:t>
      </w:r>
    </w:p>
    <w:p w14:paraId="73D783A2" w14:textId="77777777" w:rsidR="002758CC" w:rsidRPr="00100F03" w:rsidRDefault="002758CC" w:rsidP="008A0F26">
      <w:pPr>
        <w:pStyle w:val="Paragraphedeliste"/>
        <w:numPr>
          <w:ilvl w:val="1"/>
          <w:numId w:val="5"/>
        </w:numPr>
        <w:spacing w:after="200" w:line="288" w:lineRule="auto"/>
        <w:jc w:val="left"/>
      </w:pPr>
      <w:r>
        <w:t>Hydraulique</w:t>
      </w:r>
    </w:p>
    <w:p w14:paraId="2DE1C135" w14:textId="77777777" w:rsidR="002758CC" w:rsidRPr="00100F03" w:rsidRDefault="002758CC" w:rsidP="008A0F26">
      <w:pPr>
        <w:pStyle w:val="Paragraphedeliste"/>
        <w:numPr>
          <w:ilvl w:val="0"/>
          <w:numId w:val="5"/>
        </w:numPr>
        <w:spacing w:after="200" w:line="288" w:lineRule="auto"/>
        <w:jc w:val="left"/>
      </w:pPr>
      <w:r w:rsidRPr="00100F03">
        <w:t>Filières de production de chaleur :</w:t>
      </w:r>
    </w:p>
    <w:p w14:paraId="48BDE2B3" w14:textId="77777777" w:rsidR="002758CC" w:rsidRDefault="002758CC" w:rsidP="008A0F26">
      <w:pPr>
        <w:pStyle w:val="Paragraphedeliste"/>
        <w:numPr>
          <w:ilvl w:val="1"/>
          <w:numId w:val="5"/>
        </w:numPr>
        <w:spacing w:after="200" w:line="288" w:lineRule="auto"/>
        <w:jc w:val="left"/>
      </w:pPr>
      <w:r>
        <w:t>Pompes à chaleur</w:t>
      </w:r>
    </w:p>
    <w:p w14:paraId="37AEBBB4" w14:textId="77777777" w:rsidR="002758CC" w:rsidRPr="00100F03" w:rsidRDefault="002758CC" w:rsidP="008A0F26">
      <w:pPr>
        <w:pStyle w:val="Paragraphedeliste"/>
        <w:numPr>
          <w:ilvl w:val="1"/>
          <w:numId w:val="5"/>
        </w:numPr>
        <w:spacing w:after="200" w:line="288" w:lineRule="auto"/>
        <w:jc w:val="left"/>
      </w:pPr>
      <w:r w:rsidRPr="00100F03">
        <w:t>Solaire thermique </w:t>
      </w:r>
    </w:p>
    <w:p w14:paraId="4563B797" w14:textId="77777777" w:rsidR="002758CC" w:rsidRPr="00100F03" w:rsidRDefault="002758CC" w:rsidP="008A0F26">
      <w:pPr>
        <w:pStyle w:val="Paragraphedeliste"/>
        <w:numPr>
          <w:ilvl w:val="1"/>
          <w:numId w:val="5"/>
        </w:numPr>
        <w:spacing w:after="200" w:line="288" w:lineRule="auto"/>
        <w:jc w:val="left"/>
      </w:pPr>
      <w:r w:rsidRPr="00100F03">
        <w:t>Géothermie</w:t>
      </w:r>
    </w:p>
    <w:p w14:paraId="1D86F579" w14:textId="77777777" w:rsidR="002758CC" w:rsidRPr="00100F03" w:rsidRDefault="002758CC" w:rsidP="008A0F26">
      <w:pPr>
        <w:pStyle w:val="Paragraphedeliste"/>
        <w:numPr>
          <w:ilvl w:val="0"/>
          <w:numId w:val="5"/>
        </w:numPr>
        <w:spacing w:after="200" w:line="288" w:lineRule="auto"/>
        <w:jc w:val="left"/>
      </w:pPr>
      <w:r w:rsidRPr="00100F03">
        <w:t>Filières de production d’électricité, de chaleur ou de carburants à partir du même vecteur énergétique :</w:t>
      </w:r>
    </w:p>
    <w:p w14:paraId="5D83DFB9" w14:textId="77777777" w:rsidR="002758CC" w:rsidRPr="00100F03" w:rsidRDefault="002758CC" w:rsidP="008A0F26">
      <w:pPr>
        <w:pStyle w:val="Paragraphedeliste"/>
        <w:numPr>
          <w:ilvl w:val="1"/>
          <w:numId w:val="5"/>
        </w:numPr>
        <w:spacing w:after="200" w:line="288" w:lineRule="auto"/>
        <w:jc w:val="left"/>
      </w:pPr>
      <w:r w:rsidRPr="00100F03">
        <w:t>Biomasse / bois-énergie </w:t>
      </w:r>
    </w:p>
    <w:p w14:paraId="272AA1F6" w14:textId="77777777" w:rsidR="002758CC" w:rsidRPr="00100F03" w:rsidRDefault="002758CC" w:rsidP="008A0F26">
      <w:pPr>
        <w:pStyle w:val="Paragraphedeliste"/>
        <w:numPr>
          <w:ilvl w:val="1"/>
          <w:numId w:val="5"/>
        </w:numPr>
        <w:spacing w:after="200" w:line="288" w:lineRule="auto"/>
        <w:jc w:val="left"/>
      </w:pPr>
      <w:r w:rsidRPr="00100F03">
        <w:t>Biogaz</w:t>
      </w:r>
    </w:p>
    <w:p w14:paraId="29942778" w14:textId="77777777" w:rsidR="002758CC" w:rsidRDefault="002758CC" w:rsidP="008A0F26">
      <w:pPr>
        <w:pStyle w:val="Paragraphedeliste"/>
        <w:numPr>
          <w:ilvl w:val="0"/>
          <w:numId w:val="5"/>
        </w:numPr>
        <w:spacing w:after="200" w:line="288" w:lineRule="auto"/>
        <w:jc w:val="left"/>
      </w:pPr>
      <w:r w:rsidRPr="00100F03">
        <w:t>Energies de récupération de chaleur fatale</w:t>
      </w:r>
      <w:r>
        <w:t> </w:t>
      </w:r>
    </w:p>
    <w:p w14:paraId="33BAFCEA" w14:textId="77777777" w:rsidR="002758CC" w:rsidRDefault="002758CC" w:rsidP="008A0F26">
      <w:pPr>
        <w:pStyle w:val="Paragraphedeliste"/>
        <w:numPr>
          <w:ilvl w:val="1"/>
          <w:numId w:val="5"/>
        </w:numPr>
        <w:spacing w:after="200" w:line="288" w:lineRule="auto"/>
        <w:jc w:val="left"/>
      </w:pPr>
      <w:r>
        <w:t>Des réseaux d’eaux usées et eaux grises</w:t>
      </w:r>
    </w:p>
    <w:p w14:paraId="27855A14" w14:textId="77777777" w:rsidR="002758CC" w:rsidRDefault="002758CC" w:rsidP="008A0F26">
      <w:pPr>
        <w:pStyle w:val="Paragraphedeliste"/>
        <w:numPr>
          <w:ilvl w:val="1"/>
          <w:numId w:val="5"/>
        </w:numPr>
        <w:spacing w:after="200" w:line="288" w:lineRule="auto"/>
        <w:jc w:val="left"/>
      </w:pPr>
      <w:r>
        <w:t>Data center</w:t>
      </w:r>
    </w:p>
    <w:p w14:paraId="41DD662A" w14:textId="77777777" w:rsidR="002758CC" w:rsidRPr="00100F03" w:rsidRDefault="002758CC" w:rsidP="008A0F26">
      <w:pPr>
        <w:pStyle w:val="Paragraphedeliste"/>
        <w:numPr>
          <w:ilvl w:val="1"/>
          <w:numId w:val="5"/>
        </w:numPr>
        <w:spacing w:after="200" w:line="288" w:lineRule="auto"/>
        <w:jc w:val="left"/>
      </w:pPr>
      <w:r>
        <w:t>Unités d’incinération des ordures ménagères (IUOM)</w:t>
      </w:r>
    </w:p>
    <w:p w14:paraId="65A53C3C" w14:textId="77777777" w:rsidR="002758CC" w:rsidRDefault="002758CC" w:rsidP="002708C8">
      <w:pPr>
        <w:pStyle w:val="Titre3"/>
        <w:ind w:left="2818"/>
      </w:pPr>
      <w:bookmarkStart w:id="10" w:name="_Toc129784709"/>
      <w:r>
        <w:t>Territoire d’étude</w:t>
      </w:r>
      <w:bookmarkEnd w:id="10"/>
    </w:p>
    <w:p w14:paraId="4578972A" w14:textId="4B690BFF" w:rsidR="002758CC" w:rsidRDefault="002758CC" w:rsidP="002758CC">
      <w:r w:rsidRPr="004A3574">
        <w:t xml:space="preserve">L’étude concerne les </w:t>
      </w:r>
      <w:r>
        <w:t>10 communes de la CC de la Haute Vallée de Chevreuse.</w:t>
      </w:r>
    </w:p>
    <w:p w14:paraId="3E4BFBD4" w14:textId="77777777" w:rsidR="002758CC" w:rsidRDefault="002758CC" w:rsidP="002758CC">
      <w:r w:rsidRPr="00C00722">
        <w:t>Pour ces 10 communes, il sera donc réalisé :</w:t>
      </w:r>
    </w:p>
    <w:p w14:paraId="0408B821" w14:textId="77777777" w:rsidR="002758CC" w:rsidRPr="00F16BFD" w:rsidRDefault="002758CC" w:rsidP="008A0F26">
      <w:pPr>
        <w:pStyle w:val="Paragraphedeliste"/>
        <w:numPr>
          <w:ilvl w:val="0"/>
          <w:numId w:val="6"/>
        </w:numPr>
        <w:spacing w:after="200" w:line="288" w:lineRule="auto"/>
        <w:jc w:val="left"/>
      </w:pPr>
      <w:r w:rsidRPr="00F16BFD">
        <w:t>L’état des lieux chiffré et cartographié de la situation de la production énergétique actuelle, toutes énergies</w:t>
      </w:r>
    </w:p>
    <w:p w14:paraId="5D8C81BC" w14:textId="77777777" w:rsidR="002758CC" w:rsidRPr="00F16BFD" w:rsidRDefault="002758CC" w:rsidP="008A0F26">
      <w:pPr>
        <w:pStyle w:val="Paragraphedeliste"/>
        <w:numPr>
          <w:ilvl w:val="0"/>
          <w:numId w:val="6"/>
        </w:numPr>
        <w:spacing w:after="200" w:line="288" w:lineRule="auto"/>
        <w:jc w:val="left"/>
      </w:pPr>
      <w:r w:rsidRPr="00F16BFD">
        <w:t xml:space="preserve">Le potentiel de développement de l’ensemble des filières </w:t>
      </w:r>
      <w:proofErr w:type="spellStart"/>
      <w:r w:rsidRPr="00F16BFD">
        <w:t>EnR&amp;R</w:t>
      </w:r>
      <w:proofErr w:type="spellEnd"/>
      <w:r w:rsidRPr="00F16BFD">
        <w:t xml:space="preserve"> </w:t>
      </w:r>
    </w:p>
    <w:p w14:paraId="7259E887" w14:textId="4CCED627" w:rsidR="002758CC" w:rsidRPr="00F16BFD" w:rsidRDefault="002758CC" w:rsidP="008A0F26">
      <w:pPr>
        <w:pStyle w:val="Paragraphedeliste"/>
        <w:numPr>
          <w:ilvl w:val="0"/>
          <w:numId w:val="6"/>
        </w:numPr>
        <w:spacing w:after="200" w:line="288" w:lineRule="auto"/>
        <w:jc w:val="left"/>
      </w:pPr>
      <w:r w:rsidRPr="00F16BFD">
        <w:t xml:space="preserve">La mise en place d’une démarche d’animation auprès des acteurs du territoire pour faire émerger le scénario énergétique et </w:t>
      </w:r>
      <w:r w:rsidR="00193B56">
        <w:t xml:space="preserve">la stratégie opérationnelle </w:t>
      </w:r>
      <w:r w:rsidRPr="00F16BFD">
        <w:t>pour</w:t>
      </w:r>
      <w:r>
        <w:t xml:space="preserve"> le développement des énergies renouvelables sur</w:t>
      </w:r>
      <w:r w:rsidRPr="00F16BFD">
        <w:t xml:space="preserve"> le territoire. </w:t>
      </w:r>
    </w:p>
    <w:p w14:paraId="2EC7FCE4" w14:textId="0E6B3B72" w:rsidR="001F21F0" w:rsidRDefault="001F21F0" w:rsidP="005B50AC">
      <w:pPr>
        <w:rPr>
          <w:rFonts w:asciiTheme="majorHAnsi" w:eastAsiaTheme="majorEastAsia" w:hAnsiTheme="majorHAnsi" w:cs="Futura Medium"/>
          <w:bCs/>
          <w:color w:val="A83B22"/>
          <w:sz w:val="24"/>
        </w:rPr>
      </w:pPr>
    </w:p>
    <w:p w14:paraId="1BBB91C1" w14:textId="0A195AEA" w:rsidR="002758CC" w:rsidRDefault="002758CC">
      <w:pPr>
        <w:spacing w:after="200" w:line="276" w:lineRule="auto"/>
        <w:jc w:val="left"/>
        <w:rPr>
          <w:rFonts w:ascii="Futura-Medium" w:eastAsiaTheme="majorEastAsia" w:hAnsi="Futura-Medium" w:cstheme="majorBidi"/>
          <w:b/>
          <w:bCs/>
          <w:color w:val="A83B22"/>
          <w:sz w:val="28"/>
          <w:szCs w:val="28"/>
        </w:rPr>
      </w:pPr>
      <w:r>
        <w:br w:type="page"/>
      </w:r>
    </w:p>
    <w:p w14:paraId="0E8B3EFF" w14:textId="19DE7580" w:rsidR="006C2C2E" w:rsidRDefault="006C2C2E" w:rsidP="00BA3941">
      <w:pPr>
        <w:pStyle w:val="Titre"/>
      </w:pPr>
      <w:r>
        <w:lastRenderedPageBreak/>
        <w:t>Etat des lieux énergétiques du territoire</w:t>
      </w:r>
    </w:p>
    <w:p w14:paraId="44E3F406" w14:textId="218DDA9C" w:rsidR="006C2C2E" w:rsidRPr="006C2C2E" w:rsidRDefault="006C2C2E" w:rsidP="006C2C2E">
      <w:pPr>
        <w:pStyle w:val="Style1"/>
      </w:pPr>
      <w:bookmarkStart w:id="11" w:name="_Toc129784710"/>
      <w:r>
        <w:t>Note méthodologique</w:t>
      </w:r>
      <w:bookmarkEnd w:id="11"/>
    </w:p>
    <w:p w14:paraId="781550FC" w14:textId="77777777" w:rsidR="006C2C2E" w:rsidRPr="006C2C2E" w:rsidRDefault="006C2C2E" w:rsidP="006C2C2E">
      <w:pPr>
        <w:rPr>
          <w:rFonts w:eastAsiaTheme="majorEastAsia"/>
        </w:rPr>
      </w:pPr>
      <w:r w:rsidRPr="006C2C2E">
        <w:rPr>
          <w:rFonts w:eastAsiaTheme="majorEastAsia"/>
        </w:rPr>
        <w:t>Les données présentées ci-après sont issues de plusieurs sources :</w:t>
      </w:r>
    </w:p>
    <w:p w14:paraId="64D0C656" w14:textId="77777777" w:rsidR="006C2C2E" w:rsidRPr="006C2C2E" w:rsidRDefault="006C2C2E" w:rsidP="008A0F26">
      <w:pPr>
        <w:numPr>
          <w:ilvl w:val="0"/>
          <w:numId w:val="7"/>
        </w:numPr>
        <w:rPr>
          <w:rFonts w:eastAsiaTheme="majorEastAsia"/>
        </w:rPr>
      </w:pPr>
      <w:r w:rsidRPr="006C2C2E">
        <w:rPr>
          <w:rFonts w:eastAsiaTheme="majorEastAsia"/>
        </w:rPr>
        <w:t>L’observatoire Climat, Air, Energie d’Ile-de-France (ROSE)</w:t>
      </w:r>
    </w:p>
    <w:p w14:paraId="3855B592" w14:textId="77777777" w:rsidR="006C2C2E" w:rsidRPr="006C2C2E" w:rsidRDefault="006C2C2E" w:rsidP="008A0F26">
      <w:pPr>
        <w:numPr>
          <w:ilvl w:val="0"/>
          <w:numId w:val="7"/>
        </w:numPr>
        <w:rPr>
          <w:rFonts w:eastAsiaTheme="majorEastAsia"/>
        </w:rPr>
      </w:pPr>
      <w:proofErr w:type="spellStart"/>
      <w:r w:rsidRPr="006C2C2E">
        <w:rPr>
          <w:rFonts w:eastAsiaTheme="majorEastAsia"/>
        </w:rPr>
        <w:t>OpenData</w:t>
      </w:r>
      <w:proofErr w:type="spellEnd"/>
      <w:r w:rsidRPr="006C2C2E">
        <w:rPr>
          <w:rFonts w:eastAsiaTheme="majorEastAsia"/>
        </w:rPr>
        <w:t xml:space="preserve"> des gestionnaires de Réseaux (ORE et ODRE)</w:t>
      </w:r>
    </w:p>
    <w:p w14:paraId="4B238432" w14:textId="77777777" w:rsidR="006C2C2E" w:rsidRPr="006C2C2E" w:rsidRDefault="006C2C2E" w:rsidP="008A0F26">
      <w:pPr>
        <w:numPr>
          <w:ilvl w:val="0"/>
          <w:numId w:val="7"/>
        </w:numPr>
        <w:rPr>
          <w:rFonts w:eastAsiaTheme="majorEastAsia"/>
        </w:rPr>
      </w:pPr>
      <w:r w:rsidRPr="006C2C2E">
        <w:rPr>
          <w:rFonts w:eastAsiaTheme="majorEastAsia"/>
        </w:rPr>
        <w:t xml:space="preserve">La Direction Départementale des Territoires des Yvelines (DDT 78) </w:t>
      </w:r>
    </w:p>
    <w:p w14:paraId="298CD766" w14:textId="31096927" w:rsidR="006C2C2E" w:rsidRPr="006C2C2E" w:rsidRDefault="006C2C2E" w:rsidP="006C2C2E">
      <w:pPr>
        <w:rPr>
          <w:rFonts w:eastAsiaTheme="majorEastAsia"/>
        </w:rPr>
      </w:pPr>
      <w:r w:rsidRPr="006C2C2E">
        <w:rPr>
          <w:rFonts w:eastAsiaTheme="majorEastAsia"/>
        </w:rPr>
        <w:t>Dans la présente étude, leurs données seront utilisées quand elles sont disponibles. Dans le cas contraire, la méthodologie employée pour évaluer la production actuelle d’énergies renouvelables sera décrite.</w:t>
      </w:r>
    </w:p>
    <w:p w14:paraId="23815A5A" w14:textId="5113C8EB" w:rsidR="006C2C2E" w:rsidRPr="006C2C2E" w:rsidRDefault="006C2C2E" w:rsidP="006C2C2E">
      <w:pPr>
        <w:rPr>
          <w:rFonts w:eastAsiaTheme="majorEastAsia"/>
        </w:rPr>
      </w:pPr>
      <w:r w:rsidRPr="006C2C2E">
        <w:rPr>
          <w:rFonts w:eastAsiaTheme="majorEastAsia"/>
        </w:rPr>
        <w:t>L’état initial est réalisé en 2020. Le détail communal, lorsqu’il est disponible, est joint en annexe.</w:t>
      </w:r>
    </w:p>
    <w:p w14:paraId="3473E2EC" w14:textId="77777777" w:rsidR="006C2C2E" w:rsidRPr="006C2C2E" w:rsidRDefault="006C2C2E" w:rsidP="006C2C2E">
      <w:pPr>
        <w:rPr>
          <w:rFonts w:eastAsiaTheme="majorEastAsia"/>
        </w:rPr>
      </w:pPr>
      <w:r w:rsidRPr="006C2C2E">
        <w:rPr>
          <w:rFonts w:eastAsiaTheme="majorEastAsia"/>
        </w:rPr>
        <w:t>Lorsque les données adéquates sont disponibles, il est indiqué une mise à jour des données plus récentes.</w:t>
      </w:r>
    </w:p>
    <w:p w14:paraId="5CD5425D" w14:textId="77777777" w:rsidR="006C2C2E" w:rsidRPr="006C2C2E" w:rsidRDefault="006C2C2E" w:rsidP="006C2C2E">
      <w:pPr>
        <w:rPr>
          <w:rFonts w:eastAsiaTheme="majorEastAsia"/>
        </w:rPr>
      </w:pPr>
    </w:p>
    <w:tbl>
      <w:tblPr>
        <w:tblW w:w="8898" w:type="dxa"/>
        <w:jc w:val="center"/>
        <w:tblCellMar>
          <w:top w:w="15" w:type="dxa"/>
          <w:left w:w="70" w:type="dxa"/>
          <w:bottom w:w="15" w:type="dxa"/>
          <w:right w:w="70" w:type="dxa"/>
        </w:tblCellMar>
        <w:tblLook w:val="04A0" w:firstRow="1" w:lastRow="0" w:firstColumn="1" w:lastColumn="0" w:noHBand="0" w:noVBand="1"/>
      </w:tblPr>
      <w:tblGrid>
        <w:gridCol w:w="6941"/>
        <w:gridCol w:w="1957"/>
      </w:tblGrid>
      <w:tr w:rsidR="006C2C2E" w:rsidRPr="006C2C2E" w14:paraId="0062287E" w14:textId="77777777" w:rsidTr="006C2C2E">
        <w:trPr>
          <w:trHeight w:val="291"/>
          <w:jc w:val="center"/>
        </w:trPr>
        <w:tc>
          <w:tcPr>
            <w:tcW w:w="8898" w:type="dxa"/>
            <w:gridSpan w:val="2"/>
            <w:tcBorders>
              <w:top w:val="single" w:sz="4" w:space="0" w:color="auto"/>
              <w:left w:val="single" w:sz="4" w:space="0" w:color="auto"/>
              <w:bottom w:val="single" w:sz="4" w:space="0" w:color="auto"/>
              <w:right w:val="single" w:sz="4" w:space="0" w:color="auto"/>
            </w:tcBorders>
            <w:shd w:val="clear" w:color="auto" w:fill="F3A492" w:themeFill="accent2" w:themeFillTint="99"/>
            <w:noWrap/>
            <w:vAlign w:val="bottom"/>
          </w:tcPr>
          <w:p w14:paraId="7C5FC053" w14:textId="77777777" w:rsidR="006C2C2E" w:rsidRPr="006C2C2E" w:rsidRDefault="006C2C2E" w:rsidP="006C2C2E">
            <w:pPr>
              <w:rPr>
                <w:rFonts w:eastAsiaTheme="majorEastAsia"/>
                <w:b/>
                <w:bCs/>
              </w:rPr>
            </w:pPr>
            <w:r w:rsidRPr="006C2C2E">
              <w:rPr>
                <w:rFonts w:eastAsiaTheme="majorEastAsia"/>
                <w:b/>
                <w:bCs/>
              </w:rPr>
              <w:t xml:space="preserve">ETAT DES LIEUX – CONSOMMATION </w:t>
            </w:r>
          </w:p>
        </w:tc>
      </w:tr>
      <w:tr w:rsidR="006C2C2E" w:rsidRPr="006C2C2E" w14:paraId="2F204242"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tcPr>
          <w:p w14:paraId="50B81275" w14:textId="77777777" w:rsidR="006C2C2E" w:rsidRPr="006C2C2E" w:rsidRDefault="006C2C2E" w:rsidP="006C2C2E">
            <w:pPr>
              <w:rPr>
                <w:rFonts w:eastAsiaTheme="majorEastAsia"/>
              </w:rPr>
            </w:pPr>
            <w:r w:rsidRPr="006C2C2E">
              <w:rPr>
                <w:rFonts w:eastAsiaTheme="majorEastAsia"/>
              </w:rPr>
              <w:t>Consommation par secteur et par énergie</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tcPr>
          <w:p w14:paraId="40A9048C" w14:textId="77777777" w:rsidR="006C2C2E" w:rsidRPr="006C2C2E" w:rsidRDefault="006C2C2E" w:rsidP="006C2C2E">
            <w:pPr>
              <w:rPr>
                <w:rFonts w:eastAsiaTheme="majorEastAsia"/>
              </w:rPr>
            </w:pPr>
            <w:r w:rsidRPr="006C2C2E">
              <w:rPr>
                <w:rFonts w:eastAsiaTheme="majorEastAsia"/>
              </w:rPr>
              <w:t>Disponible (2018)</w:t>
            </w:r>
          </w:p>
        </w:tc>
      </w:tr>
      <w:tr w:rsidR="006C2C2E" w:rsidRPr="006C2C2E" w14:paraId="5CBF35D1" w14:textId="77777777" w:rsidTr="006C2C2E">
        <w:trPr>
          <w:trHeight w:val="291"/>
          <w:jc w:val="center"/>
        </w:trPr>
        <w:tc>
          <w:tcPr>
            <w:tcW w:w="8898" w:type="dxa"/>
            <w:gridSpan w:val="2"/>
            <w:tcBorders>
              <w:top w:val="single" w:sz="4" w:space="0" w:color="auto"/>
              <w:left w:val="single" w:sz="4" w:space="0" w:color="auto"/>
              <w:bottom w:val="single" w:sz="4" w:space="0" w:color="auto"/>
              <w:right w:val="single" w:sz="4" w:space="0" w:color="auto"/>
            </w:tcBorders>
            <w:shd w:val="clear" w:color="000000" w:fill="F3A492" w:themeFill="accent2" w:themeFillTint="99"/>
            <w:noWrap/>
            <w:vAlign w:val="bottom"/>
            <w:hideMark/>
          </w:tcPr>
          <w:p w14:paraId="039A97D3" w14:textId="77777777" w:rsidR="006C2C2E" w:rsidRPr="006C2C2E" w:rsidRDefault="006C2C2E" w:rsidP="006C2C2E">
            <w:pPr>
              <w:rPr>
                <w:rFonts w:eastAsiaTheme="majorEastAsia"/>
                <w:b/>
                <w:bCs/>
              </w:rPr>
            </w:pPr>
            <w:r w:rsidRPr="006C2C2E">
              <w:rPr>
                <w:rFonts w:eastAsiaTheme="majorEastAsia"/>
                <w:b/>
                <w:bCs/>
              </w:rPr>
              <w:t>ETAT DES LIEUX – FILIÈRES DE PRODUCTION DE CHALEUR</w:t>
            </w:r>
          </w:p>
        </w:tc>
      </w:tr>
      <w:tr w:rsidR="006C2C2E" w:rsidRPr="006C2C2E" w14:paraId="3DF23CC4"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tcPr>
          <w:p w14:paraId="2E808DA9" w14:textId="77777777" w:rsidR="006C2C2E" w:rsidRPr="006C2C2E" w:rsidRDefault="006C2C2E" w:rsidP="006C2C2E">
            <w:pPr>
              <w:rPr>
                <w:rFonts w:eastAsiaTheme="majorEastAsia"/>
              </w:rPr>
            </w:pPr>
            <w:r w:rsidRPr="006C2C2E">
              <w:rPr>
                <w:rFonts w:eastAsiaTheme="majorEastAsia"/>
              </w:rPr>
              <w:t xml:space="preserve">Production de chaleur issue du bois énergie </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tcPr>
          <w:p w14:paraId="14C7541B"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12B55263"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11120472" w14:textId="77777777" w:rsidR="006C2C2E" w:rsidRPr="006C2C2E" w:rsidRDefault="006C2C2E" w:rsidP="006C2C2E">
            <w:pPr>
              <w:rPr>
                <w:rFonts w:eastAsiaTheme="majorEastAsia"/>
              </w:rPr>
            </w:pPr>
            <w:r w:rsidRPr="006C2C2E">
              <w:rPr>
                <w:rFonts w:eastAsiaTheme="majorEastAsia"/>
              </w:rPr>
              <w:t>Production géothermique (basse énergie et très basse énergie)</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7B4149B3"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4A4D06D4"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51266B44" w14:textId="77777777" w:rsidR="006C2C2E" w:rsidRPr="006C2C2E" w:rsidRDefault="006C2C2E" w:rsidP="006C2C2E">
            <w:pPr>
              <w:rPr>
                <w:rFonts w:eastAsiaTheme="majorEastAsia"/>
              </w:rPr>
            </w:pPr>
            <w:r w:rsidRPr="006C2C2E">
              <w:rPr>
                <w:rFonts w:eastAsiaTheme="majorEastAsia"/>
              </w:rPr>
              <w:t>Production solaire thermique (logements existants)</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49EDFE99"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79F34CDD"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080BC54A" w14:textId="77777777" w:rsidR="006C2C2E" w:rsidRPr="006C2C2E" w:rsidRDefault="006C2C2E" w:rsidP="006C2C2E">
            <w:pPr>
              <w:rPr>
                <w:rFonts w:eastAsiaTheme="majorEastAsia"/>
              </w:rPr>
            </w:pPr>
            <w:r w:rsidRPr="006C2C2E">
              <w:rPr>
                <w:rFonts w:eastAsiaTheme="majorEastAsia"/>
              </w:rPr>
              <w:t>Biogaz</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469C6C4B"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423DEA12"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05D8AF67" w14:textId="77777777" w:rsidR="006C2C2E" w:rsidRPr="006C2C2E" w:rsidRDefault="006C2C2E" w:rsidP="006C2C2E">
            <w:pPr>
              <w:rPr>
                <w:rFonts w:eastAsiaTheme="majorEastAsia"/>
              </w:rPr>
            </w:pPr>
            <w:r w:rsidRPr="006C2C2E">
              <w:rPr>
                <w:rFonts w:eastAsiaTheme="majorEastAsia"/>
              </w:rPr>
              <w:t>Valorisation de chaleur issue des déchets</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64CDB24C"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196C8FF2"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tcPr>
          <w:p w14:paraId="5C4993EC" w14:textId="77777777" w:rsidR="006C2C2E" w:rsidRPr="006C2C2E" w:rsidRDefault="006C2C2E" w:rsidP="006C2C2E">
            <w:pPr>
              <w:rPr>
                <w:rFonts w:eastAsiaTheme="majorEastAsia"/>
              </w:rPr>
            </w:pPr>
            <w:r w:rsidRPr="006C2C2E">
              <w:rPr>
                <w:rFonts w:eastAsiaTheme="majorEastAsia"/>
              </w:rPr>
              <w:t xml:space="preserve">Récupération de chaleur fatale </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tcPr>
          <w:p w14:paraId="0DBCA758"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0FC8D433" w14:textId="77777777" w:rsidTr="006C2C2E">
        <w:trPr>
          <w:trHeight w:val="291"/>
          <w:jc w:val="center"/>
        </w:trPr>
        <w:tc>
          <w:tcPr>
            <w:tcW w:w="8898" w:type="dxa"/>
            <w:gridSpan w:val="2"/>
            <w:tcBorders>
              <w:top w:val="single" w:sz="4" w:space="0" w:color="auto"/>
              <w:left w:val="single" w:sz="4" w:space="0" w:color="auto"/>
              <w:bottom w:val="single" w:sz="4" w:space="0" w:color="auto"/>
              <w:right w:val="single" w:sz="4" w:space="0" w:color="auto"/>
            </w:tcBorders>
            <w:shd w:val="clear" w:color="000000" w:fill="F3A492" w:themeFill="accent2" w:themeFillTint="99"/>
            <w:noWrap/>
            <w:vAlign w:val="center"/>
            <w:hideMark/>
          </w:tcPr>
          <w:p w14:paraId="74DAFA7F" w14:textId="77777777" w:rsidR="006C2C2E" w:rsidRPr="006C2C2E" w:rsidRDefault="006C2C2E" w:rsidP="006C2C2E">
            <w:pPr>
              <w:rPr>
                <w:rFonts w:eastAsiaTheme="majorEastAsia"/>
                <w:b/>
                <w:bCs/>
                <w:i/>
                <w:iCs/>
              </w:rPr>
            </w:pPr>
            <w:r w:rsidRPr="006C2C2E">
              <w:rPr>
                <w:rFonts w:eastAsiaTheme="majorEastAsia"/>
                <w:b/>
                <w:bCs/>
              </w:rPr>
              <w:t xml:space="preserve">ETAT DES LIEUX – </w:t>
            </w:r>
            <w:r w:rsidRPr="006C2C2E">
              <w:rPr>
                <w:rFonts w:eastAsiaTheme="majorEastAsia"/>
                <w:b/>
                <w:bCs/>
                <w:iCs/>
              </w:rPr>
              <w:t>FILIÈRES DE PRODUCTION D’ÉLECTRICITÉ</w:t>
            </w:r>
          </w:p>
        </w:tc>
      </w:tr>
      <w:tr w:rsidR="006C2C2E" w:rsidRPr="006C2C2E" w14:paraId="7937308F"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268157F5" w14:textId="77777777" w:rsidR="006C2C2E" w:rsidRPr="006C2C2E" w:rsidRDefault="006C2C2E" w:rsidP="006C2C2E">
            <w:pPr>
              <w:rPr>
                <w:rFonts w:eastAsiaTheme="majorEastAsia"/>
              </w:rPr>
            </w:pPr>
            <w:r w:rsidRPr="006C2C2E">
              <w:rPr>
                <w:rFonts w:eastAsiaTheme="majorEastAsia"/>
              </w:rPr>
              <w:t>Eolien terrestre</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4B182B05"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06D080BA"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554EE4AB" w14:textId="77777777" w:rsidR="006C2C2E" w:rsidRPr="006C2C2E" w:rsidRDefault="006C2C2E" w:rsidP="006C2C2E">
            <w:pPr>
              <w:rPr>
                <w:rFonts w:eastAsiaTheme="majorEastAsia"/>
              </w:rPr>
            </w:pPr>
            <w:r w:rsidRPr="006C2C2E">
              <w:rPr>
                <w:rFonts w:eastAsiaTheme="majorEastAsia"/>
              </w:rPr>
              <w:t>Solaire photovoltaïque</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4EA764BD"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5008AEB5"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07E71FCA" w14:textId="77777777" w:rsidR="006C2C2E" w:rsidRPr="006C2C2E" w:rsidRDefault="006C2C2E" w:rsidP="006C2C2E">
            <w:pPr>
              <w:rPr>
                <w:rFonts w:eastAsiaTheme="majorEastAsia"/>
              </w:rPr>
            </w:pPr>
            <w:r w:rsidRPr="006C2C2E">
              <w:rPr>
                <w:rFonts w:eastAsiaTheme="majorEastAsia"/>
              </w:rPr>
              <w:t>Biogaz</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48BB2F0C"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7255D548"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78233D4D" w14:textId="77777777" w:rsidR="006C2C2E" w:rsidRPr="006C2C2E" w:rsidRDefault="006C2C2E" w:rsidP="006C2C2E">
            <w:pPr>
              <w:rPr>
                <w:rFonts w:eastAsiaTheme="majorEastAsia"/>
              </w:rPr>
            </w:pPr>
            <w:r w:rsidRPr="006C2C2E">
              <w:rPr>
                <w:rFonts w:eastAsiaTheme="majorEastAsia"/>
              </w:rPr>
              <w:t>Biomasse solide</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7AF3B438"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10E21292"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hideMark/>
          </w:tcPr>
          <w:p w14:paraId="61E41E9E" w14:textId="77777777" w:rsidR="006C2C2E" w:rsidRPr="006C2C2E" w:rsidRDefault="006C2C2E" w:rsidP="006C2C2E">
            <w:pPr>
              <w:rPr>
                <w:rFonts w:eastAsiaTheme="majorEastAsia"/>
              </w:rPr>
            </w:pPr>
            <w:r w:rsidRPr="006C2C2E">
              <w:rPr>
                <w:rFonts w:eastAsiaTheme="majorEastAsia"/>
              </w:rPr>
              <w:t>Valorisation électricité issue des déchets</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hideMark/>
          </w:tcPr>
          <w:p w14:paraId="07779028"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54B01273"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tcPr>
          <w:p w14:paraId="4BEF1BD1" w14:textId="77777777" w:rsidR="006C2C2E" w:rsidRPr="006C2C2E" w:rsidRDefault="006C2C2E" w:rsidP="006C2C2E">
            <w:pPr>
              <w:rPr>
                <w:rFonts w:eastAsiaTheme="majorEastAsia"/>
              </w:rPr>
            </w:pPr>
            <w:r w:rsidRPr="006C2C2E">
              <w:rPr>
                <w:rFonts w:eastAsiaTheme="majorEastAsia"/>
              </w:rPr>
              <w:t>Hydraulique</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tcPr>
          <w:p w14:paraId="2F0B0448" w14:textId="77777777" w:rsidR="006C2C2E" w:rsidRPr="006C2C2E" w:rsidRDefault="006C2C2E" w:rsidP="006C2C2E">
            <w:pPr>
              <w:rPr>
                <w:rFonts w:eastAsiaTheme="majorEastAsia"/>
              </w:rPr>
            </w:pPr>
            <w:r w:rsidRPr="006C2C2E">
              <w:rPr>
                <w:rFonts w:eastAsiaTheme="majorEastAsia"/>
              </w:rPr>
              <w:t>Disponible (2020)</w:t>
            </w:r>
          </w:p>
        </w:tc>
      </w:tr>
      <w:tr w:rsidR="006C2C2E" w:rsidRPr="006C2C2E" w14:paraId="577ABC94" w14:textId="77777777" w:rsidTr="006C2C2E">
        <w:trPr>
          <w:trHeight w:val="291"/>
          <w:jc w:val="center"/>
        </w:trPr>
        <w:tc>
          <w:tcPr>
            <w:tcW w:w="6941" w:type="dxa"/>
            <w:tcBorders>
              <w:top w:val="single" w:sz="4" w:space="0" w:color="auto"/>
              <w:left w:val="single" w:sz="4" w:space="0" w:color="auto"/>
              <w:bottom w:val="single" w:sz="4" w:space="0" w:color="auto"/>
              <w:right w:val="single" w:sz="4" w:space="0" w:color="auto"/>
            </w:tcBorders>
            <w:vAlign w:val="center"/>
          </w:tcPr>
          <w:p w14:paraId="01C0ACE2" w14:textId="77777777" w:rsidR="006C2C2E" w:rsidRPr="006C2C2E" w:rsidRDefault="006C2C2E" w:rsidP="006C2C2E">
            <w:pPr>
              <w:rPr>
                <w:rFonts w:eastAsiaTheme="majorEastAsia"/>
              </w:rPr>
            </w:pPr>
            <w:r w:rsidRPr="006C2C2E">
              <w:rPr>
                <w:rFonts w:eastAsiaTheme="majorEastAsia"/>
              </w:rPr>
              <w:t xml:space="preserve">Déchets ménagers </w:t>
            </w:r>
          </w:p>
        </w:tc>
        <w:tc>
          <w:tcPr>
            <w:tcW w:w="1957" w:type="dxa"/>
            <w:tcBorders>
              <w:top w:val="single" w:sz="4" w:space="0" w:color="auto"/>
              <w:left w:val="single" w:sz="4" w:space="0" w:color="auto"/>
              <w:bottom w:val="single" w:sz="4" w:space="0" w:color="auto"/>
              <w:right w:val="single" w:sz="4" w:space="0" w:color="auto"/>
            </w:tcBorders>
            <w:shd w:val="clear" w:color="auto" w:fill="ECF7CD" w:themeFill="accent3" w:themeFillTint="33"/>
            <w:noWrap/>
            <w:vAlign w:val="center"/>
          </w:tcPr>
          <w:p w14:paraId="57B50B2E" w14:textId="17B75CD1" w:rsidR="006C2C2E" w:rsidRPr="006C2C2E" w:rsidRDefault="009B49C8" w:rsidP="006C2C2E">
            <w:pPr>
              <w:rPr>
                <w:rFonts w:eastAsiaTheme="majorEastAsia"/>
              </w:rPr>
            </w:pPr>
            <w:r w:rsidRPr="006C2C2E">
              <w:rPr>
                <w:rFonts w:eastAsiaTheme="majorEastAsia"/>
              </w:rPr>
              <w:t>Disponible (2020)</w:t>
            </w:r>
          </w:p>
        </w:tc>
      </w:tr>
    </w:tbl>
    <w:p w14:paraId="38EB05B1" w14:textId="50F08FC8" w:rsidR="006C2C2E" w:rsidRDefault="006C2C2E" w:rsidP="006C2C2E">
      <w:pPr>
        <w:rPr>
          <w:rFonts w:eastAsiaTheme="majorEastAsia"/>
        </w:rPr>
      </w:pPr>
    </w:p>
    <w:p w14:paraId="37C8C559" w14:textId="77777777" w:rsidR="006C2C2E" w:rsidRDefault="006C2C2E">
      <w:pPr>
        <w:spacing w:after="200" w:line="276" w:lineRule="auto"/>
        <w:jc w:val="left"/>
        <w:rPr>
          <w:rFonts w:eastAsiaTheme="majorEastAsia"/>
        </w:rPr>
      </w:pPr>
      <w:r>
        <w:rPr>
          <w:rFonts w:eastAsiaTheme="majorEastAsia"/>
        </w:rPr>
        <w:br w:type="page"/>
      </w:r>
    </w:p>
    <w:p w14:paraId="6556E087" w14:textId="17B9E136" w:rsidR="006C2C2E" w:rsidRDefault="006C2C2E" w:rsidP="006C2C2E">
      <w:pPr>
        <w:pStyle w:val="Style1"/>
      </w:pPr>
      <w:bookmarkStart w:id="12" w:name="_Toc129784711"/>
      <w:r>
        <w:lastRenderedPageBreak/>
        <w:t>Etat des lieux des consommations</w:t>
      </w:r>
      <w:bookmarkEnd w:id="12"/>
    </w:p>
    <w:p w14:paraId="5D727B0A" w14:textId="77777777" w:rsidR="006C2C2E" w:rsidRPr="00E14D0E" w:rsidRDefault="006C2C2E" w:rsidP="006C2C2E">
      <w:r w:rsidRPr="00E14D0E">
        <w:t>L’état des lieux énergétique territorial permet d’avoir une vision globale de la consommation d’énergie et de la production d’énergies renouvelables sur le territoire de la CC de la Haute Vallée de Chevreuse.</w:t>
      </w:r>
    </w:p>
    <w:p w14:paraId="5DC989D7" w14:textId="0BE707BA" w:rsidR="006C2C2E" w:rsidRDefault="006C2C2E" w:rsidP="008A0F26">
      <w:pPr>
        <w:pStyle w:val="Titre2"/>
        <w:ind w:left="1996" w:hanging="578"/>
      </w:pPr>
      <w:bookmarkStart w:id="13" w:name="_Toc129784712"/>
      <w:r>
        <w:t>Méthodologie</w:t>
      </w:r>
      <w:bookmarkEnd w:id="13"/>
    </w:p>
    <w:p w14:paraId="0A472568" w14:textId="3D64EAD5" w:rsidR="006C2C2E" w:rsidRPr="00036F57" w:rsidRDefault="006C2C2E" w:rsidP="006C2C2E">
      <w:r>
        <w:t>L’observatoire de la qualité de l’air de la région Ile-de-France (</w:t>
      </w:r>
      <w:proofErr w:type="spellStart"/>
      <w:r w:rsidRPr="00036F57">
        <w:t>Airparif</w:t>
      </w:r>
      <w:proofErr w:type="spellEnd"/>
      <w:r>
        <w:t>)</w:t>
      </w:r>
      <w:r w:rsidRPr="00036F57">
        <w:t xml:space="preserve"> a réalisé un diagnostic territorial des consommations et des émissions de de gaz à effet de serre, disponible sur ENERGIF</w:t>
      </w:r>
      <w:r>
        <w:t xml:space="preserve"> qui </w:t>
      </w:r>
      <w:r w:rsidR="009F4A3E">
        <w:t>centralise</w:t>
      </w:r>
      <w:r>
        <w:t xml:space="preserve"> les bases de données du Réseau d’observatoire statistique de l’énergie (ROSE) de la région.</w:t>
      </w:r>
      <w:r w:rsidRPr="00036F57">
        <w:t xml:space="preserve"> Les données de cet état des lieux sont ainsi issues de ce diagnostic.</w:t>
      </w:r>
    </w:p>
    <w:p w14:paraId="2DB27ECB" w14:textId="1B25582C" w:rsidR="006C2C2E" w:rsidRPr="006C2C2E" w:rsidRDefault="006C2C2E" w:rsidP="006C2C2E">
      <w:r w:rsidRPr="00036F57">
        <w:t>L’état des lieux est réalisé en énergie finale.</w:t>
      </w:r>
    </w:p>
    <w:p w14:paraId="5CD8AB32" w14:textId="07F42F7F" w:rsidR="006C2C2E" w:rsidRDefault="006C2C2E" w:rsidP="008A0F26">
      <w:pPr>
        <w:pStyle w:val="Titre2"/>
        <w:ind w:left="1996" w:hanging="578"/>
      </w:pPr>
      <w:bookmarkStart w:id="14" w:name="_Toc129784713"/>
      <w:r>
        <w:t>Consommation d’énergie sur le territoire</w:t>
      </w:r>
      <w:bookmarkEnd w:id="14"/>
    </w:p>
    <w:p w14:paraId="0852AC0F" w14:textId="77777777" w:rsidR="006C2C2E" w:rsidRPr="00EC41E3" w:rsidRDefault="006C2C2E" w:rsidP="00193B56">
      <w:pPr>
        <w:pStyle w:val="Titre3"/>
        <w:ind w:left="2818"/>
      </w:pPr>
      <w:bookmarkStart w:id="15" w:name="_Toc129784714"/>
      <w:r w:rsidRPr="00EC41E3">
        <w:t>Vision globale</w:t>
      </w:r>
      <w:bookmarkEnd w:id="15"/>
    </w:p>
    <w:p w14:paraId="669F6F5F" w14:textId="77777777" w:rsidR="006C2C2E" w:rsidRPr="005920C4" w:rsidRDefault="006C2C2E" w:rsidP="006C2C2E">
      <w:r w:rsidRPr="007A35A4">
        <w:t xml:space="preserve">La consommation d’énergie finale pour la Communauté de Communes de la Haute Vallée de Chevreuse en 2018 est de </w:t>
      </w:r>
      <w:r w:rsidRPr="007A35A4">
        <w:rPr>
          <w:b/>
          <w:bCs/>
        </w:rPr>
        <w:t xml:space="preserve">412 </w:t>
      </w:r>
      <w:proofErr w:type="gramStart"/>
      <w:r w:rsidRPr="007A35A4">
        <w:rPr>
          <w:b/>
          <w:bCs/>
        </w:rPr>
        <w:t>GWh</w:t>
      </w:r>
      <w:proofErr w:type="gramEnd"/>
      <w:r w:rsidRPr="007A35A4">
        <w:t xml:space="preserve">. Cela représente une consommation de </w:t>
      </w:r>
      <w:r w:rsidRPr="007A35A4">
        <w:rPr>
          <w:b/>
          <w:bCs/>
        </w:rPr>
        <w:t>16,34 MWh par habitant</w:t>
      </w:r>
      <w:r w:rsidRPr="007A35A4">
        <w:t>.</w:t>
      </w:r>
    </w:p>
    <w:p w14:paraId="0D808AFF" w14:textId="77777777" w:rsidR="006C2C2E" w:rsidRPr="00EC41E3" w:rsidRDefault="006C2C2E" w:rsidP="002708C8">
      <w:pPr>
        <w:pStyle w:val="Titre3"/>
        <w:ind w:left="2818"/>
      </w:pPr>
      <w:bookmarkStart w:id="16" w:name="_Toc129784715"/>
      <w:r w:rsidRPr="00EC41E3">
        <w:t>Répartition par énergie</w:t>
      </w:r>
      <w:bookmarkEnd w:id="16"/>
      <w:r w:rsidRPr="00EC41E3">
        <w:t xml:space="preserve"> </w:t>
      </w:r>
    </w:p>
    <w:p w14:paraId="42EDC2C0" w14:textId="77777777" w:rsidR="006C2C2E" w:rsidRDefault="006C2C2E" w:rsidP="006C2C2E">
      <w:r w:rsidRPr="007A35A4">
        <w:rPr>
          <w:b/>
          <w:bCs/>
        </w:rPr>
        <w:t>Le gaz naturel représente le premier vecteur énergétique consommé</w:t>
      </w:r>
      <w:r w:rsidRPr="00E14D0E">
        <w:t xml:space="preserve"> du territoire, à hauteur de </w:t>
      </w:r>
      <w:r w:rsidRPr="007A35A4">
        <w:rPr>
          <w:b/>
          <w:bCs/>
        </w:rPr>
        <w:t xml:space="preserve">152 </w:t>
      </w:r>
      <w:proofErr w:type="gramStart"/>
      <w:r w:rsidRPr="007A35A4">
        <w:rPr>
          <w:b/>
          <w:bCs/>
        </w:rPr>
        <w:t>GWh</w:t>
      </w:r>
      <w:proofErr w:type="gramEnd"/>
      <w:r w:rsidRPr="007A35A4">
        <w:rPr>
          <w:b/>
          <w:bCs/>
        </w:rPr>
        <w:t xml:space="preserve"> en 2018</w:t>
      </w:r>
      <w:r w:rsidRPr="00E14D0E">
        <w:t xml:space="preserve">, ce qui représente </w:t>
      </w:r>
      <w:r w:rsidRPr="007A35A4">
        <w:rPr>
          <w:b/>
          <w:bCs/>
        </w:rPr>
        <w:t>37% de la consommation</w:t>
      </w:r>
      <w:r w:rsidRPr="00E14D0E">
        <w:t xml:space="preserve"> </w:t>
      </w:r>
      <w:r w:rsidRPr="007A35A4">
        <w:rPr>
          <w:b/>
          <w:bCs/>
        </w:rPr>
        <w:t>totale</w:t>
      </w:r>
      <w:r w:rsidRPr="00E14D0E">
        <w:t xml:space="preserve"> du territoire. </w:t>
      </w:r>
    </w:p>
    <w:p w14:paraId="03146F73" w14:textId="2C3F9B06" w:rsidR="006C2C2E" w:rsidRDefault="006C2C2E" w:rsidP="006C2C2E">
      <w:r w:rsidRPr="00E14D0E">
        <w:t xml:space="preserve">Cette prédominance est liée aux besoins thermiques des bâtiments (chauffage et eau chaude sanitaire). Le </w:t>
      </w:r>
      <w:r w:rsidRPr="007A35A4">
        <w:rPr>
          <w:b/>
          <w:bCs/>
        </w:rPr>
        <w:t xml:space="preserve">second vecteur énergétique </w:t>
      </w:r>
      <w:r w:rsidR="00B65445">
        <w:rPr>
          <w:b/>
          <w:bCs/>
        </w:rPr>
        <w:t>consommé est la catégorie des</w:t>
      </w:r>
      <w:r w:rsidRPr="007A35A4">
        <w:rPr>
          <w:b/>
          <w:bCs/>
        </w:rPr>
        <w:t xml:space="preserve"> produits pétroliers et le charbon</w:t>
      </w:r>
      <w:r w:rsidRPr="00E14D0E">
        <w:t xml:space="preserve"> (30% de la consommation)</w:t>
      </w:r>
      <w:r w:rsidR="00B65445">
        <w:t>. Cette consommation est</w:t>
      </w:r>
      <w:r w:rsidR="00BA3941">
        <w:t xml:space="preserve"> </w:t>
      </w:r>
      <w:r w:rsidRPr="00E14D0E">
        <w:t>principalement liée aux transports routiers et aux besoins thermiques des bâtiments.</w:t>
      </w:r>
    </w:p>
    <w:p w14:paraId="77863A83" w14:textId="4E2ECF8E" w:rsidR="00B65445" w:rsidRDefault="006C2C2E" w:rsidP="006C2C2E">
      <w:r w:rsidRPr="00793C58">
        <w:rPr>
          <w:b/>
          <w:bCs/>
        </w:rPr>
        <w:t xml:space="preserve">L’électricité occupe la troisième place avec 28% de la consommation totale </w:t>
      </w:r>
      <w:r>
        <w:t>du territoire, notamment liée au</w:t>
      </w:r>
      <w:r w:rsidR="00B65445">
        <w:t>x</w:t>
      </w:r>
      <w:r w:rsidR="00BA3941">
        <w:t xml:space="preserve"> </w:t>
      </w:r>
      <w:r>
        <w:t>usages spécifiques des bâtiments, chauffage électrique et eau chaude sanitaire</w:t>
      </w:r>
      <w:r w:rsidR="00B65445">
        <w:t xml:space="preserve"> du secteur résidentiel.</w:t>
      </w:r>
    </w:p>
    <w:p w14:paraId="42044566" w14:textId="14F98FF2" w:rsidR="006C2C2E" w:rsidRDefault="006C2C2E" w:rsidP="006C2C2E">
      <w:r>
        <w:t>Enfin le bois représente la part la plus faible des consommations, avec seulement 5% de la consommation totale du territoire.</w:t>
      </w:r>
    </w:p>
    <w:p w14:paraId="38E743DB" w14:textId="77777777" w:rsidR="006C2C2E" w:rsidRDefault="006C2C2E" w:rsidP="006C2C2E">
      <w:pPr>
        <w:keepNext/>
        <w:jc w:val="center"/>
      </w:pPr>
      <w:r>
        <w:rPr>
          <w:noProof/>
        </w:rPr>
        <w:drawing>
          <wp:inline distT="0" distB="0" distL="0" distR="0" wp14:anchorId="5CE4481D" wp14:editId="133F9E42">
            <wp:extent cx="5443220" cy="2676525"/>
            <wp:effectExtent l="0" t="0" r="0" b="0"/>
            <wp:docPr id="30" name="Graphique 30">
              <a:extLst xmlns:a="http://schemas.openxmlformats.org/drawingml/2006/main">
                <a:ext uri="{FF2B5EF4-FFF2-40B4-BE49-F238E27FC236}">
                  <a16:creationId xmlns:a16="http://schemas.microsoft.com/office/drawing/2014/main" id="{0D2DCC4F-526C-5EC5-67C4-0B88398FF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B230553" w14:textId="3CDC9BA9" w:rsidR="006C2C2E" w:rsidRPr="00AF24C7" w:rsidRDefault="006C2C2E" w:rsidP="006C2C2E">
      <w:pPr>
        <w:pStyle w:val="Lgende"/>
        <w:jc w:val="center"/>
      </w:pPr>
      <w:bookmarkStart w:id="17" w:name="_Toc126096819"/>
      <w:bookmarkStart w:id="18" w:name="_Toc129786556"/>
      <w:r>
        <w:t xml:space="preserve">Figure </w:t>
      </w:r>
      <w:r w:rsidR="00D56558">
        <w:fldChar w:fldCharType="begin"/>
      </w:r>
      <w:r w:rsidR="00D56558">
        <w:instrText xml:space="preserve"> SEQ Figure \* ARABIC </w:instrText>
      </w:r>
      <w:r w:rsidR="00D56558">
        <w:fldChar w:fldCharType="separate"/>
      </w:r>
      <w:r w:rsidR="00BA2D9B">
        <w:rPr>
          <w:noProof/>
        </w:rPr>
        <w:t>2</w:t>
      </w:r>
      <w:r w:rsidR="00D56558">
        <w:rPr>
          <w:noProof/>
        </w:rPr>
        <w:fldChar w:fldCharType="end"/>
      </w:r>
      <w:r>
        <w:t xml:space="preserve"> : Répartition des consommations par vecteur énergétique</w:t>
      </w:r>
      <w:bookmarkEnd w:id="17"/>
      <w:bookmarkEnd w:id="18"/>
    </w:p>
    <w:p w14:paraId="7A6E2F7F" w14:textId="6C4E9198" w:rsidR="006C2C2E" w:rsidRPr="00907BE7" w:rsidRDefault="006C2C2E" w:rsidP="00907BE7">
      <w:pPr>
        <w:pStyle w:val="Lgende"/>
        <w:jc w:val="center"/>
        <w:rPr>
          <w:b w:val="0"/>
          <w:bCs w:val="0"/>
          <w:i/>
          <w:iCs/>
          <w:color w:val="auto"/>
        </w:rPr>
      </w:pPr>
      <w:r w:rsidRPr="00907BE7">
        <w:rPr>
          <w:b w:val="0"/>
          <w:bCs w:val="0"/>
          <w:i/>
          <w:iCs/>
          <w:color w:val="auto"/>
        </w:rPr>
        <w:t>Source : ENERGIF (ROSE Ile-de-France)</w:t>
      </w:r>
    </w:p>
    <w:p w14:paraId="1DF9C012" w14:textId="77777777" w:rsidR="00B65445" w:rsidRDefault="006C2C2E" w:rsidP="006C2C2E">
      <w:r w:rsidRPr="005E75E2">
        <w:lastRenderedPageBreak/>
        <w:t>A l’échelle communal</w:t>
      </w:r>
      <w:r>
        <w:t>e</w:t>
      </w:r>
      <w:r w:rsidRPr="005E75E2">
        <w:t xml:space="preserve">, </w:t>
      </w:r>
      <w:r w:rsidRPr="005E75E2">
        <w:rPr>
          <w:b/>
          <w:bCs/>
        </w:rPr>
        <w:t>la part des produits pétroliers</w:t>
      </w:r>
      <w:r w:rsidRPr="005E75E2">
        <w:t xml:space="preserve"> dans la consommation par commune représente </w:t>
      </w:r>
      <w:r w:rsidRPr="005E75E2">
        <w:rPr>
          <w:b/>
          <w:bCs/>
        </w:rPr>
        <w:t>plus de la moitié des consommations pour 5 communes</w:t>
      </w:r>
      <w:r w:rsidRPr="005E75E2">
        <w:t xml:space="preserve"> (Choisel, Dampierre-en-Yvelines, Milon-la-Chapelle, Saint-Lambert, Saint-Forget et Senlisse). Cette répartition semble correspondre aux besoins liés au transport ainsi qu’aux bâtiments équipés de systèmes de chauffage au fioul. </w:t>
      </w:r>
    </w:p>
    <w:p w14:paraId="66BAC0F0" w14:textId="107C7A76" w:rsidR="00B65445" w:rsidRDefault="006C2C2E" w:rsidP="006C2C2E">
      <w:r w:rsidRPr="005E75E2">
        <w:t xml:space="preserve">Dans les </w:t>
      </w:r>
      <w:r w:rsidRPr="009A09ED">
        <w:rPr>
          <w:b/>
          <w:bCs/>
        </w:rPr>
        <w:t>autres communes</w:t>
      </w:r>
      <w:r w:rsidRPr="005E75E2">
        <w:t xml:space="preserve">, </w:t>
      </w:r>
      <w:r w:rsidRPr="009A09ED">
        <w:rPr>
          <w:b/>
          <w:bCs/>
        </w:rPr>
        <w:t>l’électricité et le gaz naturel représentent plus de 50%</w:t>
      </w:r>
      <w:r w:rsidRPr="005E75E2">
        <w:t xml:space="preserve"> des consommations et peuvent traduire une tendance de bâtiments avec des systèmes de chauffage au gaz ou électriques.</w:t>
      </w:r>
    </w:p>
    <w:p w14:paraId="417046F0" w14:textId="77777777" w:rsidR="006C2C2E" w:rsidRPr="00AF24C7" w:rsidRDefault="006C2C2E" w:rsidP="006C2C2E"/>
    <w:p w14:paraId="0B5E2A0D" w14:textId="77777777" w:rsidR="006C2C2E" w:rsidRDefault="006C2C2E" w:rsidP="006C2C2E">
      <w:pPr>
        <w:keepNext/>
        <w:jc w:val="center"/>
      </w:pPr>
      <w:r>
        <w:rPr>
          <w:noProof/>
        </w:rPr>
        <w:drawing>
          <wp:inline distT="0" distB="0" distL="0" distR="0" wp14:anchorId="3021EFEB" wp14:editId="20FDC51E">
            <wp:extent cx="5760720" cy="4105910"/>
            <wp:effectExtent l="0" t="0" r="3810" b="3175"/>
            <wp:docPr id="20" name="Image 2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cart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105910"/>
                    </a:xfrm>
                    <a:prstGeom prst="rect">
                      <a:avLst/>
                    </a:prstGeom>
                  </pic:spPr>
                </pic:pic>
              </a:graphicData>
            </a:graphic>
          </wp:inline>
        </w:drawing>
      </w:r>
    </w:p>
    <w:p w14:paraId="367FE56D" w14:textId="537A2B77" w:rsidR="006C2C2E" w:rsidRDefault="006C2C2E" w:rsidP="006C2C2E">
      <w:pPr>
        <w:pStyle w:val="Lgende"/>
        <w:jc w:val="center"/>
      </w:pPr>
      <w:bookmarkStart w:id="19" w:name="_Toc126096820"/>
      <w:bookmarkStart w:id="20" w:name="_Toc129786557"/>
      <w:r>
        <w:t xml:space="preserve">Figure </w:t>
      </w:r>
      <w:r w:rsidR="00D56558">
        <w:fldChar w:fldCharType="begin"/>
      </w:r>
      <w:r w:rsidR="00D56558">
        <w:instrText xml:space="preserve"> SEQ Figure \* ARABIC </w:instrText>
      </w:r>
      <w:r w:rsidR="00D56558">
        <w:fldChar w:fldCharType="separate"/>
      </w:r>
      <w:r w:rsidR="00BA2D9B">
        <w:rPr>
          <w:noProof/>
        </w:rPr>
        <w:t>3</w:t>
      </w:r>
      <w:r w:rsidR="00D56558">
        <w:rPr>
          <w:noProof/>
        </w:rPr>
        <w:fldChar w:fldCharType="end"/>
      </w:r>
      <w:r>
        <w:t xml:space="preserve"> : Répartition des consommations par commune et par énergie</w:t>
      </w:r>
      <w:bookmarkEnd w:id="19"/>
      <w:bookmarkEnd w:id="20"/>
    </w:p>
    <w:p w14:paraId="639162FB" w14:textId="77777777" w:rsidR="006C2C2E" w:rsidRPr="00907BE7" w:rsidRDefault="006C2C2E" w:rsidP="00907BE7">
      <w:pPr>
        <w:pStyle w:val="Lgende"/>
        <w:jc w:val="center"/>
        <w:rPr>
          <w:b w:val="0"/>
          <w:bCs w:val="0"/>
          <w:i/>
          <w:iCs/>
          <w:color w:val="auto"/>
        </w:rPr>
      </w:pPr>
      <w:r w:rsidRPr="00907BE7">
        <w:rPr>
          <w:b w:val="0"/>
          <w:bCs w:val="0"/>
          <w:i/>
          <w:iCs/>
          <w:color w:val="auto"/>
        </w:rPr>
        <w:t>Source : ENERGIF (ROSE Ile-de-France)</w:t>
      </w:r>
    </w:p>
    <w:p w14:paraId="5B8F35F6" w14:textId="77777777" w:rsidR="006C2C2E" w:rsidRPr="009370F0" w:rsidRDefault="006C2C2E" w:rsidP="006C2C2E">
      <w:pPr>
        <w:jc w:val="center"/>
        <w:rPr>
          <w:i/>
          <w:iCs/>
        </w:rPr>
      </w:pPr>
    </w:p>
    <w:p w14:paraId="20160519" w14:textId="77777777" w:rsidR="006C2C2E" w:rsidRPr="00EC41E3" w:rsidRDefault="006C2C2E" w:rsidP="002708C8">
      <w:pPr>
        <w:pStyle w:val="Titre3"/>
        <w:ind w:left="2818"/>
      </w:pPr>
      <w:bookmarkStart w:id="21" w:name="_Toc129784716"/>
      <w:r w:rsidRPr="00EC41E3">
        <w:t>Répartition par secteur</w:t>
      </w:r>
      <w:bookmarkEnd w:id="21"/>
    </w:p>
    <w:p w14:paraId="2588B392" w14:textId="77777777" w:rsidR="00B65445" w:rsidRDefault="006C2C2E" w:rsidP="006C2C2E">
      <w:r w:rsidRPr="004D25FD">
        <w:t xml:space="preserve">Le secteur le plus consommateur de la CC de la Haute Vallée de Chevreuse est le résidentiel, qui représente 58% de la consommation totale du territoire. </w:t>
      </w:r>
    </w:p>
    <w:p w14:paraId="0F2DB4AF" w14:textId="085DAF99" w:rsidR="006C2C2E" w:rsidRPr="006C2C2E" w:rsidRDefault="006C2C2E" w:rsidP="006C2C2E">
      <w:r w:rsidRPr="004D25FD">
        <w:t xml:space="preserve">Cette consommation élevée du secteur peut s’expliquer </w:t>
      </w:r>
      <w:r>
        <w:t>par une part importante des logements construits avant la première réglementation thermique du bâtiment de 1975, avec potentiellement une absence ou une faible isolation.</w:t>
      </w:r>
    </w:p>
    <w:p w14:paraId="0D2645F8" w14:textId="77777777" w:rsidR="00B65445" w:rsidRDefault="006C2C2E" w:rsidP="006C2C2E">
      <w:r w:rsidRPr="00C700BD">
        <w:t xml:space="preserve">Il est suivi pas le secteur des transports routiers, qui atteint plus de 23% de la consommation totale du territoire, et par le secteur tertiaire avec 18% des consommations. </w:t>
      </w:r>
    </w:p>
    <w:p w14:paraId="67795F82" w14:textId="1056F637" w:rsidR="006C2C2E" w:rsidRPr="00C700BD" w:rsidRDefault="006C2C2E" w:rsidP="006C2C2E">
      <w:r w:rsidRPr="00C700BD">
        <w:t>Les secteurs industriels (1%) et agricoles (&lt; 1%) viennent ensuite, avec des consommations plus faibles liées à une plus faible activité que les autres secteurs.</w:t>
      </w:r>
    </w:p>
    <w:p w14:paraId="3651F86F" w14:textId="77777777" w:rsidR="006C2C2E" w:rsidRDefault="006C2C2E" w:rsidP="006C2C2E">
      <w:pPr>
        <w:keepNext/>
        <w:jc w:val="center"/>
      </w:pPr>
      <w:r>
        <w:rPr>
          <w:noProof/>
        </w:rPr>
        <w:lastRenderedPageBreak/>
        <w:drawing>
          <wp:inline distT="0" distB="0" distL="0" distR="0" wp14:anchorId="427FD2F6" wp14:editId="3CCCF0A6">
            <wp:extent cx="6004560" cy="2981960"/>
            <wp:effectExtent l="0" t="0" r="0" b="8890"/>
            <wp:docPr id="31" name="Graphique 31">
              <a:extLst xmlns:a="http://schemas.openxmlformats.org/drawingml/2006/main">
                <a:ext uri="{FF2B5EF4-FFF2-40B4-BE49-F238E27FC236}">
                  <a16:creationId xmlns:a16="http://schemas.microsoft.com/office/drawing/2014/main" id="{C6B58F9D-1ECF-498E-BB4F-0035148CE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B49DFC" w14:textId="68826E48" w:rsidR="006C2C2E" w:rsidRDefault="006C2C2E" w:rsidP="006C2C2E">
      <w:pPr>
        <w:pStyle w:val="Lgende"/>
        <w:jc w:val="center"/>
      </w:pPr>
      <w:bookmarkStart w:id="22" w:name="_Toc126096821"/>
      <w:bookmarkStart w:id="23" w:name="_Toc129786558"/>
      <w:r>
        <w:t xml:space="preserve">Figure </w:t>
      </w:r>
      <w:r w:rsidR="00D56558">
        <w:fldChar w:fldCharType="begin"/>
      </w:r>
      <w:r w:rsidR="00D56558">
        <w:instrText xml:space="preserve"> SEQ Figure \* ARABIC </w:instrText>
      </w:r>
      <w:r w:rsidR="00D56558">
        <w:fldChar w:fldCharType="separate"/>
      </w:r>
      <w:r w:rsidR="00BA2D9B">
        <w:rPr>
          <w:noProof/>
        </w:rPr>
        <w:t>4</w:t>
      </w:r>
      <w:r w:rsidR="00D56558">
        <w:rPr>
          <w:noProof/>
        </w:rPr>
        <w:fldChar w:fldCharType="end"/>
      </w:r>
      <w:r>
        <w:t xml:space="preserve"> : Répartition des consommations par secteur</w:t>
      </w:r>
      <w:bookmarkEnd w:id="22"/>
      <w:bookmarkEnd w:id="23"/>
    </w:p>
    <w:p w14:paraId="495E1388" w14:textId="7ED956C5" w:rsidR="006C2C2E" w:rsidRPr="00907BE7" w:rsidRDefault="006C2C2E" w:rsidP="00907BE7">
      <w:pPr>
        <w:pStyle w:val="Lgende"/>
        <w:jc w:val="center"/>
        <w:rPr>
          <w:b w:val="0"/>
          <w:bCs w:val="0"/>
          <w:i/>
          <w:iCs/>
          <w:color w:val="auto"/>
        </w:rPr>
      </w:pPr>
      <w:r w:rsidRPr="00907BE7">
        <w:rPr>
          <w:b w:val="0"/>
          <w:bCs w:val="0"/>
          <w:i/>
          <w:iCs/>
          <w:color w:val="auto"/>
        </w:rPr>
        <w:t>Source : ENERGIF (ROSE Ile-de-France)</w:t>
      </w:r>
    </w:p>
    <w:p w14:paraId="392011FA" w14:textId="77777777" w:rsidR="006C2C2E" w:rsidRDefault="006C2C2E" w:rsidP="006C2C2E">
      <w:r>
        <w:t xml:space="preserve">La grande majorité des consommations du territoire (plus de 70%) sont </w:t>
      </w:r>
      <w:r w:rsidRPr="00A42570">
        <w:rPr>
          <w:b/>
          <w:bCs/>
        </w:rPr>
        <w:t>concentrées au niveau de 3 communes</w:t>
      </w:r>
      <w:r>
        <w:t xml:space="preserve">, à savoir Saint-Rémy-lès-Chevreuse avec 34% soit plus de 130 </w:t>
      </w:r>
      <w:proofErr w:type="gramStart"/>
      <w:r>
        <w:t>GWh</w:t>
      </w:r>
      <w:proofErr w:type="gramEnd"/>
      <w:r>
        <w:t xml:space="preserve">, Le Mesnil-Saint-Denis avec 23% (soit près de 90 GWh) et Chevreuse avec 19% (plus de 75 GWh). </w:t>
      </w:r>
    </w:p>
    <w:p w14:paraId="1E5E7C9D" w14:textId="77777777" w:rsidR="006C2C2E" w:rsidRDefault="006C2C2E" w:rsidP="006C2C2E"/>
    <w:p w14:paraId="29DF4FE1" w14:textId="77777777" w:rsidR="006C2C2E" w:rsidRDefault="006C2C2E" w:rsidP="006C2C2E">
      <w:pPr>
        <w:keepNext/>
        <w:jc w:val="center"/>
      </w:pPr>
      <w:r>
        <w:rPr>
          <w:noProof/>
        </w:rPr>
        <w:drawing>
          <wp:inline distT="0" distB="0" distL="0" distR="0" wp14:anchorId="1D38DC82" wp14:editId="297036A7">
            <wp:extent cx="5760720" cy="4099560"/>
            <wp:effectExtent l="0" t="0" r="0" b="0"/>
            <wp:docPr id="22" name="Image 2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rt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099560"/>
                    </a:xfrm>
                    <a:prstGeom prst="rect">
                      <a:avLst/>
                    </a:prstGeom>
                  </pic:spPr>
                </pic:pic>
              </a:graphicData>
            </a:graphic>
          </wp:inline>
        </w:drawing>
      </w:r>
    </w:p>
    <w:p w14:paraId="77083118" w14:textId="0FF9AD4A" w:rsidR="006C2C2E" w:rsidRDefault="006C2C2E" w:rsidP="006C2C2E">
      <w:pPr>
        <w:pStyle w:val="Lgende"/>
        <w:jc w:val="center"/>
      </w:pPr>
      <w:bookmarkStart w:id="24" w:name="_Toc126096822"/>
      <w:bookmarkStart w:id="25" w:name="_Toc129786559"/>
      <w:r>
        <w:t xml:space="preserve">Figure </w:t>
      </w:r>
      <w:r w:rsidR="00D56558">
        <w:fldChar w:fldCharType="begin"/>
      </w:r>
      <w:r w:rsidR="00D56558">
        <w:instrText xml:space="preserve"> SEQ Figure \* ARABIC </w:instrText>
      </w:r>
      <w:r w:rsidR="00D56558">
        <w:fldChar w:fldCharType="separate"/>
      </w:r>
      <w:r w:rsidR="00BA2D9B">
        <w:rPr>
          <w:noProof/>
        </w:rPr>
        <w:t>5</w:t>
      </w:r>
      <w:r w:rsidR="00D56558">
        <w:rPr>
          <w:noProof/>
        </w:rPr>
        <w:fldChar w:fldCharType="end"/>
      </w:r>
      <w:r>
        <w:t xml:space="preserve"> :  Répartition des consommations d'énergie par commune et par secteur</w:t>
      </w:r>
      <w:bookmarkEnd w:id="24"/>
      <w:bookmarkEnd w:id="25"/>
    </w:p>
    <w:p w14:paraId="10505511" w14:textId="77777777" w:rsidR="006C2C2E" w:rsidRPr="00907BE7" w:rsidRDefault="006C2C2E" w:rsidP="00907BE7">
      <w:pPr>
        <w:pStyle w:val="Lgende"/>
        <w:jc w:val="center"/>
        <w:rPr>
          <w:b w:val="0"/>
          <w:bCs w:val="0"/>
          <w:i/>
          <w:iCs/>
          <w:color w:val="auto"/>
        </w:rPr>
      </w:pPr>
      <w:r w:rsidRPr="00907BE7">
        <w:rPr>
          <w:b w:val="0"/>
          <w:bCs w:val="0"/>
          <w:i/>
          <w:iCs/>
          <w:color w:val="auto"/>
        </w:rPr>
        <w:t>Source : ENERGIF (ROSE Ile-de-France)</w:t>
      </w:r>
    </w:p>
    <w:p w14:paraId="51E622AC" w14:textId="77F2A23D" w:rsidR="00CF663E" w:rsidRDefault="00CF663E" w:rsidP="00CF663E">
      <w:r>
        <w:lastRenderedPageBreak/>
        <w:t xml:space="preserve">Hors variable habitant, la figure ci-dessous montre que les communes les plus densément peuplées </w:t>
      </w:r>
      <w:r w:rsidR="004721E0">
        <w:t xml:space="preserve">– </w:t>
      </w:r>
      <w:r w:rsidR="00A4026F">
        <w:t>respectivement</w:t>
      </w:r>
      <w:r w:rsidR="004721E0">
        <w:t xml:space="preserve"> </w:t>
      </w:r>
      <w:r w:rsidR="00A4026F">
        <w:t xml:space="preserve">Saint-Rémy-lès-Chevreuse, Le Mesnil-Saint-Denis et Chevreuse </w:t>
      </w:r>
      <w:r w:rsidR="004721E0">
        <w:t xml:space="preserve">- </w:t>
      </w:r>
      <w:r w:rsidR="00A4026F">
        <w:t>ne sont pas les plus consommatrices d’énergie. Au contraire, la consommation d’énergie par habitant pour les communes du mesnil-Saint-Denis et de Chevreuse sont dans les valeurs les plus faibles du territoire (&lt; 15 MWh/</w:t>
      </w:r>
      <w:proofErr w:type="spellStart"/>
      <w:r w:rsidR="00A4026F">
        <w:t>hab</w:t>
      </w:r>
      <w:proofErr w:type="spellEnd"/>
      <w:r w:rsidR="00A4026F">
        <w:t>) alors que les consommations d’énergie par habitant pour certaines communes faiblement peuplées sont plus importantes (30 à 35 MWh/</w:t>
      </w:r>
      <w:proofErr w:type="spellStart"/>
      <w:r w:rsidR="00A4026F">
        <w:t>hab</w:t>
      </w:r>
      <w:proofErr w:type="spellEnd"/>
      <w:r w:rsidR="00A4026F">
        <w:t xml:space="preserve"> pour la commune de Senlisse voire &gt; 35 MWh/</w:t>
      </w:r>
      <w:proofErr w:type="spellStart"/>
      <w:r w:rsidR="00A4026F">
        <w:t>hab</w:t>
      </w:r>
      <w:proofErr w:type="spellEnd"/>
      <w:r w:rsidR="004721E0">
        <w:t xml:space="preserve"> pour celle de Saint-Forget).</w:t>
      </w:r>
    </w:p>
    <w:p w14:paraId="10EAEEDA" w14:textId="77777777" w:rsidR="00CF663E" w:rsidRDefault="00CF663E" w:rsidP="00CF663E">
      <w:pPr>
        <w:pStyle w:val="Lgende"/>
        <w:jc w:val="center"/>
      </w:pPr>
    </w:p>
    <w:p w14:paraId="2C11BF25" w14:textId="77777777" w:rsidR="00CF663E" w:rsidRDefault="00CF663E" w:rsidP="00CF663E">
      <w:pPr>
        <w:pStyle w:val="Lgende"/>
        <w:keepNext/>
        <w:jc w:val="center"/>
      </w:pPr>
      <w:r w:rsidRPr="00CF663E">
        <w:rPr>
          <w:noProof/>
        </w:rPr>
        <w:drawing>
          <wp:inline distT="0" distB="0" distL="0" distR="0" wp14:anchorId="73A4537F" wp14:editId="31CC615A">
            <wp:extent cx="4855210" cy="3478473"/>
            <wp:effectExtent l="0" t="0" r="2540" b="8255"/>
            <wp:docPr id="7170" name="Image 717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Image 7170" descr="Une image contenant carte&#10;&#10;Description générée automatiquement"/>
                    <pic:cNvPicPr/>
                  </pic:nvPicPr>
                  <pic:blipFill>
                    <a:blip r:embed="rId22"/>
                    <a:stretch>
                      <a:fillRect/>
                    </a:stretch>
                  </pic:blipFill>
                  <pic:spPr>
                    <a:xfrm>
                      <a:off x="0" y="0"/>
                      <a:ext cx="4863035" cy="3484079"/>
                    </a:xfrm>
                    <a:prstGeom prst="rect">
                      <a:avLst/>
                    </a:prstGeom>
                  </pic:spPr>
                </pic:pic>
              </a:graphicData>
            </a:graphic>
          </wp:inline>
        </w:drawing>
      </w:r>
    </w:p>
    <w:p w14:paraId="5D350D82" w14:textId="378674FD" w:rsidR="00CF663E" w:rsidRDefault="00CF663E" w:rsidP="00CF663E">
      <w:pPr>
        <w:pStyle w:val="Lgende"/>
        <w:jc w:val="center"/>
      </w:pPr>
      <w:bookmarkStart w:id="26" w:name="_Toc129786560"/>
      <w:r>
        <w:t xml:space="preserve">Figure </w:t>
      </w:r>
      <w:r w:rsidR="00D56558">
        <w:fldChar w:fldCharType="begin"/>
      </w:r>
      <w:r w:rsidR="00D56558">
        <w:instrText xml:space="preserve"> SEQ Figure \* ARABIC </w:instrText>
      </w:r>
      <w:r w:rsidR="00D56558">
        <w:fldChar w:fldCharType="separate"/>
      </w:r>
      <w:r w:rsidR="00BA2D9B">
        <w:rPr>
          <w:noProof/>
        </w:rPr>
        <w:t>6</w:t>
      </w:r>
      <w:r w:rsidR="00D56558">
        <w:rPr>
          <w:noProof/>
        </w:rPr>
        <w:fldChar w:fldCharType="end"/>
      </w:r>
      <w:r>
        <w:t xml:space="preserve"> :  Répartition des consommations d'énergie par commune et par secteur</w:t>
      </w:r>
      <w:bookmarkEnd w:id="26"/>
    </w:p>
    <w:p w14:paraId="57540F57" w14:textId="77777777" w:rsidR="00CF663E" w:rsidRPr="00907BE7" w:rsidRDefault="00CF663E" w:rsidP="00CF663E">
      <w:pPr>
        <w:pStyle w:val="Lgende"/>
        <w:jc w:val="center"/>
        <w:rPr>
          <w:b w:val="0"/>
          <w:bCs w:val="0"/>
          <w:i/>
          <w:iCs/>
          <w:color w:val="auto"/>
        </w:rPr>
      </w:pPr>
      <w:r w:rsidRPr="00907BE7">
        <w:rPr>
          <w:b w:val="0"/>
          <w:bCs w:val="0"/>
          <w:i/>
          <w:iCs/>
          <w:color w:val="auto"/>
        </w:rPr>
        <w:t>Source : ENERGIF (ROSE Ile-de-France)</w:t>
      </w:r>
    </w:p>
    <w:p w14:paraId="2E03A747" w14:textId="77777777" w:rsidR="00CF663E" w:rsidRPr="00CF663E" w:rsidRDefault="00CF663E" w:rsidP="00CF663E"/>
    <w:p w14:paraId="74DC1DA7" w14:textId="4EBA470D" w:rsidR="006C2C2E" w:rsidRPr="00EC41E3" w:rsidRDefault="006C2C2E" w:rsidP="002708C8">
      <w:pPr>
        <w:pStyle w:val="Titre3"/>
        <w:ind w:left="2818"/>
      </w:pPr>
      <w:bookmarkStart w:id="27" w:name="_Toc129784717"/>
      <w:r w:rsidRPr="00EC41E3">
        <w:t>Répartition par secteur et par énergie</w:t>
      </w:r>
      <w:bookmarkEnd w:id="27"/>
      <w:r w:rsidRPr="00EC41E3">
        <w:t xml:space="preserve"> </w:t>
      </w:r>
    </w:p>
    <w:p w14:paraId="7F5DEF84" w14:textId="30374EC2" w:rsidR="006C2C2E" w:rsidRPr="003D48BE" w:rsidRDefault="006C2C2E" w:rsidP="006C2C2E">
      <w:r w:rsidRPr="003D48BE">
        <w:t xml:space="preserve">La majorité des consommations d’électricité, de gaz naturel et de bois proviennent du secteur résidentiel, </w:t>
      </w:r>
      <w:r>
        <w:t xml:space="preserve">avec </w:t>
      </w:r>
      <w:r w:rsidR="000C0878">
        <w:t xml:space="preserve">tout de même </w:t>
      </w:r>
      <w:r>
        <w:t>une part de produit pétroliers et charbon</w:t>
      </w:r>
      <w:r w:rsidR="000C0878">
        <w:t xml:space="preserve"> résiduelle</w:t>
      </w:r>
      <w:r>
        <w:t xml:space="preserve">. En effet, ce secteur est </w:t>
      </w:r>
      <w:r w:rsidRPr="003D48BE">
        <w:t>composé d’une part importante de bâtiments construit</w:t>
      </w:r>
      <w:r>
        <w:t>s</w:t>
      </w:r>
      <w:r w:rsidRPr="003D48BE">
        <w:t xml:space="preserve"> avant 1975 et potentiellement peu performant</w:t>
      </w:r>
      <w:r>
        <w:t>s</w:t>
      </w:r>
      <w:r w:rsidRPr="003D48BE">
        <w:t xml:space="preserve"> en termes d’isolation thermique.</w:t>
      </w:r>
    </w:p>
    <w:p w14:paraId="7CF95535" w14:textId="1272B7F1" w:rsidR="006C2C2E" w:rsidRPr="003D48BE" w:rsidRDefault="006C2C2E" w:rsidP="006C2C2E">
      <w:r w:rsidRPr="003D48BE">
        <w:t>Les produits pétroliers sont essentiellement consommés par le secteur des transports routiers. Le caractère assez rural du territoire entraîne un usage important de la voiture individuelle, et pa</w:t>
      </w:r>
      <w:r>
        <w:t>r</w:t>
      </w:r>
      <w:r w:rsidRPr="003D48BE">
        <w:t xml:space="preserve"> conséquent une consommation importante de carburants.</w:t>
      </w:r>
    </w:p>
    <w:p w14:paraId="292D650C" w14:textId="56075F6F" w:rsidR="006C2C2E" w:rsidRPr="003D48BE" w:rsidRDefault="006C2C2E" w:rsidP="006C2C2E">
      <w:r w:rsidRPr="003D48BE">
        <w:t>Le secteur tertiaire, tout comme le secteur résidentiel, consomme essentiellement du gaz naturel et de l’électricité, et une part plus faible de bois et de produits pétroliers.</w:t>
      </w:r>
    </w:p>
    <w:p w14:paraId="4C8B505E" w14:textId="32268B0E" w:rsidR="006C2C2E" w:rsidRPr="006C2C2E" w:rsidRDefault="006C2C2E" w:rsidP="006C2C2E">
      <w:r w:rsidRPr="003D48BE">
        <w:t>Les secteurs industriels et agricoles consomment uniquement de l’électricité et des produits pétroliers, avec des consommations totales moins significatives que les autres secteurs.</w:t>
      </w:r>
    </w:p>
    <w:p w14:paraId="57F5B1B5" w14:textId="77777777" w:rsidR="00810F15" w:rsidRDefault="006C2C2E" w:rsidP="00810F15">
      <w:pPr>
        <w:keepNext/>
        <w:jc w:val="center"/>
      </w:pPr>
      <w:r>
        <w:rPr>
          <w:noProof/>
        </w:rPr>
        <w:lastRenderedPageBreak/>
        <w:drawing>
          <wp:inline distT="0" distB="0" distL="0" distR="0" wp14:anchorId="50ED6CD3" wp14:editId="3F74B16B">
            <wp:extent cx="5118417" cy="4387215"/>
            <wp:effectExtent l="0" t="0" r="635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18417" cy="4387215"/>
                    </a:xfrm>
                    <a:prstGeom prst="rect">
                      <a:avLst/>
                    </a:prstGeom>
                  </pic:spPr>
                </pic:pic>
              </a:graphicData>
            </a:graphic>
          </wp:inline>
        </w:drawing>
      </w:r>
    </w:p>
    <w:p w14:paraId="163246BB" w14:textId="3B56991A" w:rsidR="006C2C2E" w:rsidRDefault="00810F15" w:rsidP="00810F15">
      <w:pPr>
        <w:pStyle w:val="Lgende"/>
        <w:jc w:val="center"/>
      </w:pPr>
      <w:bookmarkStart w:id="28" w:name="_Toc129786561"/>
      <w:r>
        <w:t xml:space="preserve">Figure </w:t>
      </w:r>
      <w:r w:rsidR="00D56558">
        <w:fldChar w:fldCharType="begin"/>
      </w:r>
      <w:r w:rsidR="00D56558">
        <w:instrText xml:space="preserve"> SEQ Figure \* ARABIC </w:instrText>
      </w:r>
      <w:r w:rsidR="00D56558">
        <w:fldChar w:fldCharType="separate"/>
      </w:r>
      <w:r w:rsidR="00BA2D9B">
        <w:rPr>
          <w:noProof/>
        </w:rPr>
        <w:t>7</w:t>
      </w:r>
      <w:r w:rsidR="00D56558">
        <w:rPr>
          <w:noProof/>
        </w:rPr>
        <w:fldChar w:fldCharType="end"/>
      </w:r>
      <w:bookmarkStart w:id="29" w:name="_Toc126096823"/>
      <w:r>
        <w:t xml:space="preserve"> </w:t>
      </w:r>
      <w:r w:rsidR="006C2C2E">
        <w:t>: Répartition des consommations par secteur et par énergie</w:t>
      </w:r>
      <w:bookmarkEnd w:id="29"/>
      <w:bookmarkEnd w:id="28"/>
    </w:p>
    <w:p w14:paraId="21D04469" w14:textId="77777777" w:rsidR="006C2C2E" w:rsidRPr="00907BE7" w:rsidRDefault="006C2C2E" w:rsidP="00907BE7">
      <w:pPr>
        <w:pStyle w:val="Lgende"/>
        <w:jc w:val="center"/>
        <w:rPr>
          <w:b w:val="0"/>
          <w:bCs w:val="0"/>
          <w:i/>
          <w:iCs/>
          <w:color w:val="auto"/>
        </w:rPr>
      </w:pPr>
      <w:r w:rsidRPr="00907BE7">
        <w:rPr>
          <w:b w:val="0"/>
          <w:bCs w:val="0"/>
          <w:i/>
          <w:iCs/>
          <w:color w:val="auto"/>
        </w:rPr>
        <w:t>Source : ENERGIF (ROSE Ile-de-France)</w:t>
      </w:r>
    </w:p>
    <w:p w14:paraId="4DDD26C4" w14:textId="77777777" w:rsidR="006C2C2E" w:rsidRPr="00810F15" w:rsidRDefault="006C2C2E" w:rsidP="006C2C2E"/>
    <w:p w14:paraId="6CF6B201" w14:textId="77777777" w:rsidR="006C2C2E" w:rsidRPr="00810F15" w:rsidRDefault="006C2C2E" w:rsidP="006C2C2E"/>
    <w:p w14:paraId="5836ED47" w14:textId="77777777" w:rsidR="006C2C2E" w:rsidRPr="00810F15" w:rsidRDefault="006C2C2E" w:rsidP="006C2C2E"/>
    <w:p w14:paraId="4F17C447" w14:textId="77777777" w:rsidR="006C2C2E" w:rsidRPr="00EC41E3" w:rsidRDefault="006C2C2E" w:rsidP="002708C8">
      <w:pPr>
        <w:pStyle w:val="Titre3"/>
        <w:ind w:left="2818"/>
      </w:pPr>
      <w:bookmarkStart w:id="30" w:name="_Toc129784718"/>
      <w:r w:rsidRPr="00EC41E3">
        <w:t>Zoom sur l’électricité</w:t>
      </w:r>
      <w:bookmarkEnd w:id="30"/>
    </w:p>
    <w:tbl>
      <w:tblPr>
        <w:tblStyle w:val="Grilledutableau"/>
        <w:tblW w:w="10148" w:type="dxa"/>
        <w:tblLook w:val="04A0" w:firstRow="1" w:lastRow="0" w:firstColumn="1" w:lastColumn="0" w:noHBand="0" w:noVBand="1"/>
      </w:tblPr>
      <w:tblGrid>
        <w:gridCol w:w="1046"/>
        <w:gridCol w:w="9102"/>
      </w:tblGrid>
      <w:tr w:rsidR="000C0878" w14:paraId="017B9F13" w14:textId="77777777" w:rsidTr="00B12CF9">
        <w:trPr>
          <w:trHeight w:val="828"/>
        </w:trPr>
        <w:tc>
          <w:tcPr>
            <w:tcW w:w="1046" w:type="dxa"/>
            <w:tcBorders>
              <w:top w:val="nil"/>
              <w:left w:val="nil"/>
              <w:bottom w:val="nil"/>
              <w:right w:val="dotted" w:sz="12" w:space="0" w:color="FFC000"/>
            </w:tcBorders>
            <w:vAlign w:val="center"/>
          </w:tcPr>
          <w:p w14:paraId="5DD1B1A1" w14:textId="77777777" w:rsidR="006C2C2E" w:rsidRDefault="006C2C2E" w:rsidP="006E6B1E">
            <w:pPr>
              <w:jc w:val="center"/>
              <w:rPr>
                <w:rStyle w:val="lev"/>
              </w:rPr>
            </w:pPr>
            <w:r w:rsidRPr="009A09ED">
              <w:rPr>
                <w:rFonts w:cstheme="minorHAnsi"/>
                <w:b/>
                <w:bCs/>
                <w:noProof/>
                <w:color w:val="C7471D" w:themeColor="accent1"/>
                <w:sz w:val="26"/>
                <w:szCs w:val="26"/>
              </w:rPr>
              <w:drawing>
                <wp:inline distT="0" distB="0" distL="0" distR="0" wp14:anchorId="7AC73CBF" wp14:editId="48725449">
                  <wp:extent cx="458858" cy="366631"/>
                  <wp:effectExtent l="0" t="0" r="0" b="0"/>
                  <wp:docPr id="10" name="Image 41">
                    <a:extLst xmlns:a="http://schemas.openxmlformats.org/drawingml/2006/main">
                      <a:ext uri="{FF2B5EF4-FFF2-40B4-BE49-F238E27FC236}">
                        <a16:creationId xmlns:a16="http://schemas.microsoft.com/office/drawing/2014/main" id="{E4A0325D-97F3-0892-C545-39542E490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1">
                            <a:extLst>
                              <a:ext uri="{FF2B5EF4-FFF2-40B4-BE49-F238E27FC236}">
                                <a16:creationId xmlns:a16="http://schemas.microsoft.com/office/drawing/2014/main" id="{E4A0325D-97F3-0892-C545-39542E490C64}"/>
                              </a:ext>
                            </a:extLst>
                          </pic:cNvPr>
                          <pic:cNvPicPr>
                            <a:picLocks noChangeAspect="1"/>
                          </pic:cNvPicPr>
                        </pic:nvPicPr>
                        <pic:blipFill>
                          <a:blip r:embed="rId24">
                            <a:clrChange>
                              <a:clrFrom>
                                <a:srgbClr val="F8FAFB"/>
                              </a:clrFrom>
                              <a:clrTo>
                                <a:srgbClr val="F8FAFB">
                                  <a:alpha val="0"/>
                                </a:srgbClr>
                              </a:clrTo>
                            </a:clrChange>
                          </a:blip>
                          <a:stretch>
                            <a:fillRect/>
                          </a:stretch>
                        </pic:blipFill>
                        <pic:spPr>
                          <a:xfrm>
                            <a:off x="0" y="0"/>
                            <a:ext cx="458858" cy="366631"/>
                          </a:xfrm>
                          <a:prstGeom prst="rect">
                            <a:avLst/>
                          </a:prstGeom>
                        </pic:spPr>
                      </pic:pic>
                    </a:graphicData>
                  </a:graphic>
                </wp:inline>
              </w:drawing>
            </w:r>
          </w:p>
        </w:tc>
        <w:tc>
          <w:tcPr>
            <w:tcW w:w="9102" w:type="dxa"/>
            <w:tcBorders>
              <w:top w:val="dotted" w:sz="12" w:space="0" w:color="FFC000"/>
              <w:left w:val="dotted" w:sz="12" w:space="0" w:color="FFC000"/>
              <w:bottom w:val="dotted" w:sz="12" w:space="0" w:color="FFC000"/>
              <w:right w:val="dotted" w:sz="12" w:space="0" w:color="FFC000"/>
            </w:tcBorders>
          </w:tcPr>
          <w:p w14:paraId="50986586" w14:textId="77777777" w:rsidR="006C2C2E" w:rsidRPr="00FE4772" w:rsidRDefault="006C2C2E" w:rsidP="006E6B1E">
            <w:pPr>
              <w:rPr>
                <w:rStyle w:val="lev"/>
              </w:rPr>
            </w:pPr>
            <w:r w:rsidRPr="00FE4772">
              <w:t>Cette partie utilise des données issues des distributeurs de réseau, avec des mises à jour réalisées plus régulièrement que les données issues de l’observatoire régional. Ainsi, l’année de référence est ici 2021 et non 2018.</w:t>
            </w:r>
          </w:p>
        </w:tc>
      </w:tr>
    </w:tbl>
    <w:p w14:paraId="7E9243C3" w14:textId="77777777" w:rsidR="006C2C2E" w:rsidRDefault="006C2C2E" w:rsidP="006C2C2E">
      <w:pPr>
        <w:rPr>
          <w:rStyle w:val="lev"/>
        </w:rPr>
      </w:pPr>
    </w:p>
    <w:p w14:paraId="4C3E81F5" w14:textId="112A2C42" w:rsidR="006C2C2E" w:rsidRDefault="006C2C2E" w:rsidP="006C2C2E">
      <w:r>
        <w:t xml:space="preserve">La consommation totale d’électricité s’élève à </w:t>
      </w:r>
      <w:r w:rsidRPr="00F23ADC">
        <w:rPr>
          <w:b/>
          <w:bCs/>
        </w:rPr>
        <w:t xml:space="preserve">119 </w:t>
      </w:r>
      <w:proofErr w:type="gramStart"/>
      <w:r w:rsidRPr="00F23ADC">
        <w:rPr>
          <w:b/>
          <w:bCs/>
        </w:rPr>
        <w:t>GWh</w:t>
      </w:r>
      <w:proofErr w:type="gramEnd"/>
      <w:r w:rsidRPr="00F23ADC">
        <w:rPr>
          <w:b/>
          <w:bCs/>
        </w:rPr>
        <w:t xml:space="preserve"> en 2021</w:t>
      </w:r>
      <w:r>
        <w:t xml:space="preserve">, soit une augmentation de plus de 3% depuis 2011. </w:t>
      </w:r>
      <w:r w:rsidRPr="00F23ADC">
        <w:rPr>
          <w:b/>
          <w:bCs/>
        </w:rPr>
        <w:t>Plus de 90%</w:t>
      </w:r>
      <w:r>
        <w:t xml:space="preserve"> </w:t>
      </w:r>
      <w:r w:rsidRPr="00F23ADC">
        <w:rPr>
          <w:b/>
          <w:bCs/>
        </w:rPr>
        <w:t>de la consommation totale d’électricité</w:t>
      </w:r>
      <w:r>
        <w:t xml:space="preserve"> du territoire est</w:t>
      </w:r>
      <w:r w:rsidR="000C0878">
        <w:t xml:space="preserve"> liée aux usages</w:t>
      </w:r>
      <w:r>
        <w:t xml:space="preserve"> du bâtiment, comprenant les secteurs résidentiel (65%) et tertiaire (31%). </w:t>
      </w:r>
    </w:p>
    <w:p w14:paraId="150C6B99" w14:textId="77777777" w:rsidR="006C2C2E" w:rsidRDefault="006C2C2E" w:rsidP="006C2C2E"/>
    <w:p w14:paraId="18888D06" w14:textId="77777777" w:rsidR="006C2C2E" w:rsidRDefault="006C2C2E" w:rsidP="006C2C2E">
      <w:pPr>
        <w:keepNext/>
        <w:jc w:val="center"/>
      </w:pPr>
      <w:r w:rsidRPr="007F0A2E">
        <w:rPr>
          <w:noProof/>
        </w:rPr>
        <w:lastRenderedPageBreak/>
        <w:drawing>
          <wp:inline distT="0" distB="0" distL="0" distR="0" wp14:anchorId="651859BF" wp14:editId="5C0A5D3B">
            <wp:extent cx="4603438" cy="2790187"/>
            <wp:effectExtent l="0" t="0" r="6985" b="0"/>
            <wp:docPr id="12" name="Graphique 12">
              <a:extLst xmlns:a="http://schemas.openxmlformats.org/drawingml/2006/main">
                <a:ext uri="{FF2B5EF4-FFF2-40B4-BE49-F238E27FC236}">
                  <a16:creationId xmlns:a16="http://schemas.microsoft.com/office/drawing/2014/main" id="{53366E09-4586-9363-0359-231920F09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996DABF" w14:textId="38385E6D" w:rsidR="006C2C2E" w:rsidRDefault="006C2C2E" w:rsidP="00B12CF9">
      <w:pPr>
        <w:pStyle w:val="Lgende"/>
        <w:jc w:val="center"/>
      </w:pPr>
      <w:bookmarkStart w:id="31" w:name="_Toc126096824"/>
      <w:bookmarkStart w:id="32" w:name="_Toc129786562"/>
      <w:r>
        <w:t xml:space="preserve">Figure </w:t>
      </w:r>
      <w:r w:rsidR="00D56558">
        <w:fldChar w:fldCharType="begin"/>
      </w:r>
      <w:r w:rsidR="00D56558">
        <w:instrText xml:space="preserve"> SEQ Figure \* ARABIC </w:instrText>
      </w:r>
      <w:r w:rsidR="00D56558">
        <w:fldChar w:fldCharType="separate"/>
      </w:r>
      <w:r w:rsidR="00BA2D9B">
        <w:rPr>
          <w:noProof/>
        </w:rPr>
        <w:t>8</w:t>
      </w:r>
      <w:r w:rsidR="00D56558">
        <w:rPr>
          <w:noProof/>
        </w:rPr>
        <w:fldChar w:fldCharType="end"/>
      </w:r>
      <w:r>
        <w:t xml:space="preserve"> : Répartition de la consommation d'électricité par secteur</w:t>
      </w:r>
      <w:bookmarkEnd w:id="31"/>
      <w:bookmarkEnd w:id="32"/>
    </w:p>
    <w:p w14:paraId="3B52BABD" w14:textId="4AA7E2EF" w:rsidR="006C2C2E" w:rsidRPr="00907BE7" w:rsidRDefault="006C2C2E" w:rsidP="00907BE7">
      <w:pPr>
        <w:pStyle w:val="Lgende"/>
        <w:jc w:val="center"/>
        <w:rPr>
          <w:b w:val="0"/>
          <w:bCs w:val="0"/>
          <w:i/>
          <w:iCs/>
          <w:color w:val="auto"/>
        </w:rPr>
      </w:pPr>
      <w:r w:rsidRPr="00907BE7">
        <w:rPr>
          <w:b w:val="0"/>
          <w:bCs w:val="0"/>
          <w:i/>
          <w:iCs/>
          <w:color w:val="auto"/>
        </w:rPr>
        <w:t xml:space="preserve">Source : </w:t>
      </w:r>
      <w:r w:rsidR="000C0878" w:rsidRPr="00907BE7">
        <w:rPr>
          <w:b w:val="0"/>
          <w:bCs w:val="0"/>
          <w:i/>
          <w:iCs/>
          <w:color w:val="auto"/>
        </w:rPr>
        <w:t xml:space="preserve">Agence </w:t>
      </w:r>
      <w:r w:rsidRPr="00907BE7">
        <w:rPr>
          <w:b w:val="0"/>
          <w:bCs w:val="0"/>
          <w:i/>
          <w:iCs/>
          <w:color w:val="auto"/>
        </w:rPr>
        <w:t>ORÉ</w:t>
      </w:r>
      <w:r w:rsidR="000C0878" w:rsidRPr="00907BE7">
        <w:rPr>
          <w:b w:val="0"/>
          <w:bCs w:val="0"/>
          <w:i/>
          <w:iCs/>
          <w:color w:val="auto"/>
        </w:rPr>
        <w:t xml:space="preserve"> (O</w:t>
      </w:r>
      <w:r w:rsidR="00E462D8" w:rsidRPr="00907BE7">
        <w:rPr>
          <w:b w:val="0"/>
          <w:bCs w:val="0"/>
          <w:i/>
          <w:iCs/>
          <w:color w:val="auto"/>
        </w:rPr>
        <w:t>pérateurs de Réseaux d’Energie)</w:t>
      </w:r>
    </w:p>
    <w:p w14:paraId="6FD2A6F8" w14:textId="77777777" w:rsidR="006C2C2E" w:rsidRDefault="006C2C2E" w:rsidP="006C2C2E"/>
    <w:p w14:paraId="0F141211" w14:textId="77777777" w:rsidR="000C0878" w:rsidRDefault="006C2C2E" w:rsidP="006C2C2E">
      <w:r>
        <w:t xml:space="preserve">La </w:t>
      </w:r>
      <w:r w:rsidRPr="00870678">
        <w:rPr>
          <w:b/>
          <w:bCs/>
        </w:rPr>
        <w:t>répartition de la consommation électrique par commune est assez inégale</w:t>
      </w:r>
      <w:r>
        <w:t xml:space="preserve">, avec une concentration importante sur les communes de Saint-Rémy-lès-Chevreuse (42 </w:t>
      </w:r>
      <w:proofErr w:type="gramStart"/>
      <w:r>
        <w:t>GWh</w:t>
      </w:r>
      <w:proofErr w:type="gramEnd"/>
      <w:r>
        <w:t xml:space="preserve"> soit plus de 35% de la consommation totale), Chevreuse (26 GWh, soit 22%) et Le Mesnil-Saint-Denis (21 GWh soit 18%). </w:t>
      </w:r>
    </w:p>
    <w:p w14:paraId="7F5C6EC7" w14:textId="19F08CF0" w:rsidR="006C2C2E" w:rsidRDefault="006C2C2E" w:rsidP="006C2C2E">
      <w:r>
        <w:t>Le secteur résidentiel représente plus de la moitié des consommations électriques par commune, à l’exception de la commune de Saint-Lambert où il ne dépasse pas 30%.</w:t>
      </w:r>
    </w:p>
    <w:p w14:paraId="1812BDB5" w14:textId="77777777" w:rsidR="006C2C2E" w:rsidRDefault="006C2C2E" w:rsidP="006C2C2E"/>
    <w:p w14:paraId="22049482" w14:textId="77777777" w:rsidR="006C2C2E" w:rsidRDefault="006C2C2E" w:rsidP="006C2C2E">
      <w:pPr>
        <w:keepNext/>
        <w:jc w:val="center"/>
      </w:pPr>
      <w:r>
        <w:rPr>
          <w:noProof/>
        </w:rPr>
        <w:drawing>
          <wp:inline distT="0" distB="0" distL="0" distR="0" wp14:anchorId="6436DE7D" wp14:editId="2802424B">
            <wp:extent cx="4823460" cy="3421403"/>
            <wp:effectExtent l="0" t="0" r="0" b="7620"/>
            <wp:docPr id="14" name="Image 1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cart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32225" cy="3427620"/>
                    </a:xfrm>
                    <a:prstGeom prst="rect">
                      <a:avLst/>
                    </a:prstGeom>
                  </pic:spPr>
                </pic:pic>
              </a:graphicData>
            </a:graphic>
          </wp:inline>
        </w:drawing>
      </w:r>
    </w:p>
    <w:p w14:paraId="24C20B35" w14:textId="69B3679D" w:rsidR="006C2C2E" w:rsidRDefault="006C2C2E" w:rsidP="00B12CF9">
      <w:pPr>
        <w:pStyle w:val="Lgende"/>
        <w:jc w:val="center"/>
      </w:pPr>
      <w:bookmarkStart w:id="33" w:name="_Toc126096825"/>
      <w:bookmarkStart w:id="34" w:name="_Toc129786563"/>
      <w:r>
        <w:t xml:space="preserve">Figure </w:t>
      </w:r>
      <w:r w:rsidR="00D56558">
        <w:fldChar w:fldCharType="begin"/>
      </w:r>
      <w:r w:rsidR="00D56558">
        <w:instrText xml:space="preserve"> SEQ Figure \* ARABIC </w:instrText>
      </w:r>
      <w:r w:rsidR="00D56558">
        <w:fldChar w:fldCharType="separate"/>
      </w:r>
      <w:r w:rsidR="00BA2D9B">
        <w:rPr>
          <w:noProof/>
        </w:rPr>
        <w:t>9</w:t>
      </w:r>
      <w:r w:rsidR="00D56558">
        <w:rPr>
          <w:noProof/>
        </w:rPr>
        <w:fldChar w:fldCharType="end"/>
      </w:r>
      <w:r>
        <w:t xml:space="preserve"> : Répartition des consommations électriques par secteur et par commune</w:t>
      </w:r>
      <w:bookmarkEnd w:id="33"/>
      <w:bookmarkEnd w:id="34"/>
    </w:p>
    <w:p w14:paraId="4334AAC6" w14:textId="3C5B8610" w:rsidR="006C2C2E" w:rsidRPr="00907BE7" w:rsidRDefault="006C2C2E" w:rsidP="00907BE7">
      <w:pPr>
        <w:pStyle w:val="Lgende"/>
        <w:jc w:val="center"/>
        <w:rPr>
          <w:b w:val="0"/>
          <w:bCs w:val="0"/>
          <w:i/>
          <w:iCs/>
          <w:color w:val="auto"/>
        </w:rPr>
      </w:pPr>
      <w:r w:rsidRPr="00907BE7">
        <w:rPr>
          <w:b w:val="0"/>
          <w:bCs w:val="0"/>
          <w:i/>
          <w:iCs/>
          <w:color w:val="auto"/>
        </w:rPr>
        <w:t xml:space="preserve">Source : </w:t>
      </w:r>
      <w:r w:rsidR="00E462D8" w:rsidRPr="00907BE7">
        <w:rPr>
          <w:b w:val="0"/>
          <w:bCs w:val="0"/>
          <w:i/>
          <w:iCs/>
          <w:color w:val="auto"/>
        </w:rPr>
        <w:t>Agence ORÉ (Opérateurs de Réseaux d’Energie)</w:t>
      </w:r>
    </w:p>
    <w:p w14:paraId="2AEAD992" w14:textId="0EA970B6" w:rsidR="006E6B1E" w:rsidRPr="006E6B1E" w:rsidRDefault="006E6B1E" w:rsidP="002708C8">
      <w:pPr>
        <w:pStyle w:val="Titre3"/>
        <w:ind w:left="2818"/>
        <w:rPr>
          <w:rStyle w:val="lev"/>
          <w:b w:val="0"/>
          <w:bCs/>
          <w:szCs w:val="24"/>
        </w:rPr>
      </w:pPr>
      <w:bookmarkStart w:id="35" w:name="_Toc129784719"/>
      <w:r w:rsidRPr="006E6B1E">
        <w:rPr>
          <w:rStyle w:val="lev"/>
          <w:b w:val="0"/>
          <w:bCs/>
          <w:szCs w:val="24"/>
        </w:rPr>
        <w:t xml:space="preserve">Zoom sur le gaz </w:t>
      </w:r>
      <w:r w:rsidRPr="002708C8">
        <w:t>naturel</w:t>
      </w:r>
      <w:bookmarkEnd w:id="35"/>
    </w:p>
    <w:tbl>
      <w:tblPr>
        <w:tblStyle w:val="Grilledutableau"/>
        <w:tblW w:w="0" w:type="auto"/>
        <w:tblLook w:val="04A0" w:firstRow="1" w:lastRow="0" w:firstColumn="1" w:lastColumn="0" w:noHBand="0" w:noVBand="1"/>
      </w:tblPr>
      <w:tblGrid>
        <w:gridCol w:w="1037"/>
        <w:gridCol w:w="9116"/>
      </w:tblGrid>
      <w:tr w:rsidR="00E462D8" w14:paraId="16FB6E56" w14:textId="77777777" w:rsidTr="00E462D8">
        <w:trPr>
          <w:trHeight w:val="976"/>
        </w:trPr>
        <w:tc>
          <w:tcPr>
            <w:tcW w:w="1037" w:type="dxa"/>
            <w:tcBorders>
              <w:top w:val="nil"/>
              <w:left w:val="nil"/>
              <w:bottom w:val="nil"/>
              <w:right w:val="dotted" w:sz="12" w:space="0" w:color="FFC000"/>
            </w:tcBorders>
            <w:vAlign w:val="center"/>
          </w:tcPr>
          <w:p w14:paraId="3344F950" w14:textId="77777777" w:rsidR="006C2C2E" w:rsidRDefault="006C2C2E" w:rsidP="006E6B1E">
            <w:pPr>
              <w:jc w:val="center"/>
              <w:rPr>
                <w:rStyle w:val="lev"/>
              </w:rPr>
            </w:pPr>
            <w:r w:rsidRPr="009A09ED">
              <w:rPr>
                <w:rFonts w:cstheme="minorHAnsi"/>
                <w:b/>
                <w:bCs/>
                <w:noProof/>
                <w:color w:val="C7471D" w:themeColor="accent1"/>
                <w:sz w:val="26"/>
                <w:szCs w:val="26"/>
              </w:rPr>
              <w:drawing>
                <wp:inline distT="0" distB="0" distL="0" distR="0" wp14:anchorId="79B60BC3" wp14:editId="57EE33D8">
                  <wp:extent cx="458858" cy="366631"/>
                  <wp:effectExtent l="0" t="0" r="0" b="0"/>
                  <wp:docPr id="19" name="Image 41">
                    <a:extLst xmlns:a="http://schemas.openxmlformats.org/drawingml/2006/main">
                      <a:ext uri="{FF2B5EF4-FFF2-40B4-BE49-F238E27FC236}">
                        <a16:creationId xmlns:a16="http://schemas.microsoft.com/office/drawing/2014/main" id="{E4A0325D-97F3-0892-C545-39542E490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1">
                            <a:extLst>
                              <a:ext uri="{FF2B5EF4-FFF2-40B4-BE49-F238E27FC236}">
                                <a16:creationId xmlns:a16="http://schemas.microsoft.com/office/drawing/2014/main" id="{E4A0325D-97F3-0892-C545-39542E490C64}"/>
                              </a:ext>
                            </a:extLst>
                          </pic:cNvPr>
                          <pic:cNvPicPr>
                            <a:picLocks noChangeAspect="1"/>
                          </pic:cNvPicPr>
                        </pic:nvPicPr>
                        <pic:blipFill>
                          <a:blip r:embed="rId24">
                            <a:clrChange>
                              <a:clrFrom>
                                <a:srgbClr val="F8FAFB"/>
                              </a:clrFrom>
                              <a:clrTo>
                                <a:srgbClr val="F8FAFB">
                                  <a:alpha val="0"/>
                                </a:srgbClr>
                              </a:clrTo>
                            </a:clrChange>
                          </a:blip>
                          <a:stretch>
                            <a:fillRect/>
                          </a:stretch>
                        </pic:blipFill>
                        <pic:spPr>
                          <a:xfrm>
                            <a:off x="0" y="0"/>
                            <a:ext cx="458858" cy="366631"/>
                          </a:xfrm>
                          <a:prstGeom prst="rect">
                            <a:avLst/>
                          </a:prstGeom>
                        </pic:spPr>
                      </pic:pic>
                    </a:graphicData>
                  </a:graphic>
                </wp:inline>
              </w:drawing>
            </w:r>
          </w:p>
        </w:tc>
        <w:tc>
          <w:tcPr>
            <w:tcW w:w="9116" w:type="dxa"/>
            <w:tcBorders>
              <w:top w:val="dotted" w:sz="12" w:space="0" w:color="FFC000"/>
              <w:left w:val="dotted" w:sz="12" w:space="0" w:color="FFC000"/>
              <w:bottom w:val="dotted" w:sz="12" w:space="0" w:color="FFC000"/>
              <w:right w:val="dotted" w:sz="12" w:space="0" w:color="FFC000"/>
            </w:tcBorders>
          </w:tcPr>
          <w:p w14:paraId="781D4C0C" w14:textId="77777777" w:rsidR="006C2C2E" w:rsidRPr="00FE4772" w:rsidRDefault="006C2C2E" w:rsidP="006E6B1E">
            <w:pPr>
              <w:rPr>
                <w:rStyle w:val="lev"/>
              </w:rPr>
            </w:pPr>
            <w:r>
              <w:t>Comme pour le zoom sur l’électricité, c</w:t>
            </w:r>
            <w:r w:rsidRPr="00FE4772">
              <w:t>ette partie utilise des données issues des distributeurs de réseau, avec des mises à jour réalisées plus régulièrement que les données issues de l’observatoire régional. Ainsi, l’année de référence est ici 2021 et non 2018.</w:t>
            </w:r>
          </w:p>
        </w:tc>
      </w:tr>
    </w:tbl>
    <w:p w14:paraId="46C48407" w14:textId="77777777" w:rsidR="006C2C2E" w:rsidRDefault="006C2C2E" w:rsidP="006C2C2E"/>
    <w:p w14:paraId="7C09CF84" w14:textId="77777777" w:rsidR="006C2C2E" w:rsidRDefault="006C2C2E" w:rsidP="006C2C2E">
      <w:r>
        <w:t xml:space="preserve">La consommation totale de gaz naturel s’élève à </w:t>
      </w:r>
      <w:r w:rsidRPr="00D502FF">
        <w:rPr>
          <w:b/>
          <w:bCs/>
        </w:rPr>
        <w:t xml:space="preserve">159 </w:t>
      </w:r>
      <w:proofErr w:type="gramStart"/>
      <w:r w:rsidRPr="00D502FF">
        <w:rPr>
          <w:b/>
          <w:bCs/>
        </w:rPr>
        <w:t>GWh</w:t>
      </w:r>
      <w:proofErr w:type="gramEnd"/>
      <w:r w:rsidRPr="00D502FF">
        <w:rPr>
          <w:b/>
          <w:bCs/>
        </w:rPr>
        <w:t xml:space="preserve"> en 2021</w:t>
      </w:r>
      <w:r>
        <w:t>, soit une augmentation de 6% par rapport à 2011. Près de 75% de la consommation totale de gaz du territoire est issue du secteur résidentiel, suivi du secteur tertiaire avec 22% de la consommation.</w:t>
      </w:r>
    </w:p>
    <w:p w14:paraId="1F6AE607" w14:textId="77777777" w:rsidR="006C2C2E" w:rsidRDefault="006C2C2E" w:rsidP="006C2C2E">
      <w:pPr>
        <w:rPr>
          <w:rStyle w:val="lev"/>
        </w:rPr>
      </w:pPr>
    </w:p>
    <w:p w14:paraId="630763BF" w14:textId="77777777" w:rsidR="006C2C2E" w:rsidRDefault="006C2C2E" w:rsidP="006C2C2E">
      <w:pPr>
        <w:keepNext/>
        <w:jc w:val="center"/>
      </w:pPr>
      <w:r w:rsidRPr="00D502FF">
        <w:rPr>
          <w:rFonts w:cstheme="minorHAnsi"/>
          <w:b/>
          <w:bCs/>
          <w:noProof/>
          <w:color w:val="C7471D" w:themeColor="accent1"/>
          <w:sz w:val="26"/>
          <w:szCs w:val="26"/>
        </w:rPr>
        <w:drawing>
          <wp:inline distT="0" distB="0" distL="0" distR="0" wp14:anchorId="6847D6FC" wp14:editId="14A7788D">
            <wp:extent cx="4572000" cy="2743200"/>
            <wp:effectExtent l="0" t="0" r="0" b="0"/>
            <wp:docPr id="21" name="Graphique 21">
              <a:extLst xmlns:a="http://schemas.openxmlformats.org/drawingml/2006/main">
                <a:ext uri="{FF2B5EF4-FFF2-40B4-BE49-F238E27FC236}">
                  <a16:creationId xmlns:a16="http://schemas.microsoft.com/office/drawing/2014/main" id="{E67DB23E-1AB7-0BD1-7272-9DBBF04FE5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D8A81FC" w14:textId="2BD0D036" w:rsidR="006C2C2E" w:rsidRDefault="006C2C2E" w:rsidP="00B12CF9">
      <w:pPr>
        <w:pStyle w:val="Lgende"/>
        <w:jc w:val="center"/>
      </w:pPr>
      <w:bookmarkStart w:id="36" w:name="_Toc126096826"/>
      <w:bookmarkStart w:id="37" w:name="_Toc129786564"/>
      <w:r>
        <w:t xml:space="preserve">Figure </w:t>
      </w:r>
      <w:r w:rsidR="00D56558">
        <w:fldChar w:fldCharType="begin"/>
      </w:r>
      <w:r w:rsidR="00D56558">
        <w:instrText xml:space="preserve"> SEQ Figure \* ARABIC </w:instrText>
      </w:r>
      <w:r w:rsidR="00D56558">
        <w:fldChar w:fldCharType="separate"/>
      </w:r>
      <w:r w:rsidR="00BA2D9B">
        <w:rPr>
          <w:noProof/>
        </w:rPr>
        <w:t>10</w:t>
      </w:r>
      <w:r w:rsidR="00D56558">
        <w:rPr>
          <w:noProof/>
        </w:rPr>
        <w:fldChar w:fldCharType="end"/>
      </w:r>
      <w:r>
        <w:t xml:space="preserve"> : Répartition de la consommation de gaz par secteur</w:t>
      </w:r>
      <w:bookmarkEnd w:id="36"/>
      <w:bookmarkEnd w:id="37"/>
    </w:p>
    <w:p w14:paraId="35A97418" w14:textId="1E32FA77" w:rsidR="006C2C2E" w:rsidRPr="00907BE7" w:rsidRDefault="006C2C2E" w:rsidP="00907BE7">
      <w:pPr>
        <w:pStyle w:val="Lgende"/>
        <w:jc w:val="center"/>
        <w:rPr>
          <w:b w:val="0"/>
          <w:bCs w:val="0"/>
          <w:i/>
          <w:iCs/>
          <w:color w:val="auto"/>
        </w:rPr>
      </w:pPr>
      <w:r w:rsidRPr="00907BE7">
        <w:rPr>
          <w:b w:val="0"/>
          <w:bCs w:val="0"/>
          <w:i/>
          <w:iCs/>
          <w:color w:val="auto"/>
        </w:rPr>
        <w:t xml:space="preserve">Source : </w:t>
      </w:r>
      <w:r w:rsidR="00E462D8" w:rsidRPr="00907BE7">
        <w:rPr>
          <w:b w:val="0"/>
          <w:bCs w:val="0"/>
          <w:i/>
          <w:iCs/>
          <w:color w:val="auto"/>
        </w:rPr>
        <w:t>Agence ORÉ (Opérateurs de Réseaux d’Energie)</w:t>
      </w:r>
    </w:p>
    <w:p w14:paraId="40D78480" w14:textId="77777777" w:rsidR="006C2C2E" w:rsidRDefault="006C2C2E" w:rsidP="006C2C2E"/>
    <w:p w14:paraId="2770BD08" w14:textId="77777777" w:rsidR="006A252C" w:rsidRDefault="006C2C2E" w:rsidP="006C2C2E">
      <w:r>
        <w:t xml:space="preserve">Les communes de </w:t>
      </w:r>
      <w:r w:rsidRPr="00621082">
        <w:rPr>
          <w:b/>
          <w:bCs/>
        </w:rPr>
        <w:t xml:space="preserve">Saint-Rémy-lès-Chevreuse et </w:t>
      </w:r>
      <w:r w:rsidR="006A252C">
        <w:rPr>
          <w:b/>
          <w:bCs/>
        </w:rPr>
        <w:t>du</w:t>
      </w:r>
      <w:r w:rsidRPr="00621082">
        <w:rPr>
          <w:b/>
          <w:bCs/>
        </w:rPr>
        <w:t xml:space="preserve"> Mesnil-Saint-Denis concentrent les consommations de gaz les plus importantes</w:t>
      </w:r>
      <w:r>
        <w:t xml:space="preserve"> du territoire, avec respectivement 37% de la consommation (soit 59 </w:t>
      </w:r>
      <w:proofErr w:type="gramStart"/>
      <w:r>
        <w:t>GWh</w:t>
      </w:r>
      <w:proofErr w:type="gramEnd"/>
      <w:r>
        <w:t xml:space="preserve">) et 30% (soit près de 48 GWh). Le </w:t>
      </w:r>
      <w:r w:rsidRPr="00621082">
        <w:rPr>
          <w:b/>
          <w:bCs/>
        </w:rPr>
        <w:t>secteur résidentiel représente plus de la moitié des consommations</w:t>
      </w:r>
      <w:r>
        <w:t xml:space="preserve"> de gaz par commune, jusqu’à la totalité des consommations dans le cas de Saint-Forget. </w:t>
      </w:r>
    </w:p>
    <w:p w14:paraId="2702FCCA" w14:textId="7F4C2692" w:rsidR="006C2C2E" w:rsidRDefault="006A252C" w:rsidP="006C2C2E">
      <w:r>
        <w:t xml:space="preserve">Les communes de Milon-La-Chapelle et Choisel ne sont pas raccordées au réseau de gaz. </w:t>
      </w:r>
    </w:p>
    <w:p w14:paraId="38A8A681" w14:textId="77777777" w:rsidR="006C2C2E" w:rsidRDefault="006C2C2E" w:rsidP="006C2C2E"/>
    <w:p w14:paraId="39086387" w14:textId="77777777" w:rsidR="006C2C2E" w:rsidRDefault="006C2C2E" w:rsidP="006C2C2E">
      <w:pPr>
        <w:keepNext/>
        <w:jc w:val="center"/>
      </w:pPr>
      <w:r>
        <w:rPr>
          <w:noProof/>
        </w:rPr>
        <w:lastRenderedPageBreak/>
        <w:drawing>
          <wp:inline distT="0" distB="0" distL="0" distR="0" wp14:anchorId="1442CA5B" wp14:editId="61C2871E">
            <wp:extent cx="4716780" cy="3346771"/>
            <wp:effectExtent l="0" t="0" r="7620" b="6350"/>
            <wp:docPr id="25" name="Image 2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cart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22753" cy="3351009"/>
                    </a:xfrm>
                    <a:prstGeom prst="rect">
                      <a:avLst/>
                    </a:prstGeom>
                  </pic:spPr>
                </pic:pic>
              </a:graphicData>
            </a:graphic>
          </wp:inline>
        </w:drawing>
      </w:r>
    </w:p>
    <w:p w14:paraId="11DF0285" w14:textId="725499DE" w:rsidR="006C2C2E" w:rsidRDefault="006C2C2E" w:rsidP="00B12CF9">
      <w:pPr>
        <w:pStyle w:val="Lgende"/>
        <w:jc w:val="center"/>
      </w:pPr>
      <w:bookmarkStart w:id="38" w:name="_Toc126096827"/>
      <w:bookmarkStart w:id="39" w:name="_Toc129786565"/>
      <w:r>
        <w:t xml:space="preserve">Figure </w:t>
      </w:r>
      <w:r w:rsidR="00D56558">
        <w:fldChar w:fldCharType="begin"/>
      </w:r>
      <w:r w:rsidR="00D56558">
        <w:instrText xml:space="preserve"> SEQ Figure \* ARABIC </w:instrText>
      </w:r>
      <w:r w:rsidR="00D56558">
        <w:fldChar w:fldCharType="separate"/>
      </w:r>
      <w:r w:rsidR="00BA2D9B">
        <w:rPr>
          <w:noProof/>
        </w:rPr>
        <w:t>11</w:t>
      </w:r>
      <w:r w:rsidR="00D56558">
        <w:rPr>
          <w:noProof/>
        </w:rPr>
        <w:fldChar w:fldCharType="end"/>
      </w:r>
      <w:r>
        <w:t xml:space="preserve"> : Répartition de la consommation de gaz par secteur et par commune</w:t>
      </w:r>
      <w:bookmarkEnd w:id="38"/>
      <w:bookmarkEnd w:id="39"/>
    </w:p>
    <w:p w14:paraId="33705EF1" w14:textId="24BF7B3A" w:rsidR="006C2C2E" w:rsidRDefault="006C2C2E" w:rsidP="00907BE7">
      <w:pPr>
        <w:pStyle w:val="Lgende"/>
        <w:jc w:val="center"/>
        <w:rPr>
          <w:b w:val="0"/>
          <w:bCs w:val="0"/>
          <w:i/>
          <w:iCs/>
          <w:color w:val="auto"/>
        </w:rPr>
      </w:pPr>
      <w:r w:rsidRPr="00907BE7">
        <w:rPr>
          <w:b w:val="0"/>
          <w:bCs w:val="0"/>
          <w:i/>
          <w:iCs/>
          <w:color w:val="auto"/>
        </w:rPr>
        <w:t xml:space="preserve">Source : </w:t>
      </w:r>
      <w:r w:rsidR="00E462D8" w:rsidRPr="00907BE7">
        <w:rPr>
          <w:b w:val="0"/>
          <w:bCs w:val="0"/>
          <w:i/>
          <w:iCs/>
          <w:color w:val="auto"/>
        </w:rPr>
        <w:t>Agence ORÉ (Opérateurs de Réseaux d’Energie)</w:t>
      </w:r>
    </w:p>
    <w:p w14:paraId="2DE22C31" w14:textId="77777777" w:rsidR="00193B56" w:rsidRPr="00193B56" w:rsidRDefault="00193B56" w:rsidP="00193B56"/>
    <w:p w14:paraId="37D3DDAB" w14:textId="77777777" w:rsidR="006C2C2E" w:rsidRPr="00EC41E3" w:rsidRDefault="006C2C2E" w:rsidP="002708C8">
      <w:pPr>
        <w:pStyle w:val="Titre3"/>
        <w:ind w:left="2818"/>
      </w:pPr>
      <w:bookmarkStart w:id="40" w:name="_Toc129784720"/>
      <w:r w:rsidRPr="00EC41E3">
        <w:t>Comparaison avec les Yvelines et l’Ile-de-France</w:t>
      </w:r>
      <w:bookmarkEnd w:id="40"/>
    </w:p>
    <w:p w14:paraId="514421CC" w14:textId="1E853DC3" w:rsidR="006C2C2E" w:rsidRDefault="006C2C2E" w:rsidP="006C2C2E">
      <w:r w:rsidRPr="00EB1C9C">
        <w:t xml:space="preserve">La consommation d’énergie dans la CC de la Haute Vallée de Chevreuse est de </w:t>
      </w:r>
      <w:r w:rsidRPr="00075F20">
        <w:rPr>
          <w:b/>
          <w:bCs/>
        </w:rPr>
        <w:t>16,34 MWh/</w:t>
      </w:r>
      <w:proofErr w:type="spellStart"/>
      <w:r w:rsidRPr="00075F20">
        <w:rPr>
          <w:b/>
          <w:bCs/>
        </w:rPr>
        <w:t>hab</w:t>
      </w:r>
      <w:proofErr w:type="spellEnd"/>
      <w:r w:rsidRPr="00075F20">
        <w:rPr>
          <w:b/>
          <w:bCs/>
        </w:rPr>
        <w:t>/an</w:t>
      </w:r>
      <w:r w:rsidRPr="00EB1C9C">
        <w:t>, valeur que l’on peut comparer avec la consommation du département des Yvelines, ou de la région Ile-de-France dont la Communauté de communes fait partie.</w:t>
      </w:r>
    </w:p>
    <w:p w14:paraId="258BC5C3" w14:textId="5A843F82" w:rsidR="006C2C2E" w:rsidRDefault="006C2C2E" w:rsidP="006C2C2E">
      <w:r w:rsidRPr="00EB1C9C">
        <w:t xml:space="preserve">Si l’on compare avec les Yvelines, où cette consommation vaut </w:t>
      </w:r>
      <w:r w:rsidRPr="00075F20">
        <w:rPr>
          <w:b/>
          <w:bCs/>
        </w:rPr>
        <w:t>18,8 MWh/</w:t>
      </w:r>
      <w:proofErr w:type="spellStart"/>
      <w:r w:rsidRPr="00075F20">
        <w:rPr>
          <w:b/>
          <w:bCs/>
        </w:rPr>
        <w:t>hab</w:t>
      </w:r>
      <w:proofErr w:type="spellEnd"/>
      <w:r w:rsidRPr="00075F20">
        <w:rPr>
          <w:b/>
          <w:bCs/>
        </w:rPr>
        <w:t>/an</w:t>
      </w:r>
      <w:r w:rsidRPr="00EB1C9C">
        <w:t xml:space="preserve">, la consommation d’énergie finale par habitant dans la CC de la Haute Vallée de Chevreuse est donc moins élevée. La valeur régionale quant à elle est de </w:t>
      </w:r>
      <w:r w:rsidRPr="00075F20">
        <w:rPr>
          <w:b/>
          <w:bCs/>
        </w:rPr>
        <w:t>15,9 MWh/</w:t>
      </w:r>
      <w:proofErr w:type="spellStart"/>
      <w:r w:rsidRPr="00075F20">
        <w:rPr>
          <w:b/>
          <w:bCs/>
        </w:rPr>
        <w:t>hab</w:t>
      </w:r>
      <w:proofErr w:type="spellEnd"/>
      <w:r w:rsidRPr="00075F20">
        <w:rPr>
          <w:b/>
          <w:bCs/>
        </w:rPr>
        <w:t>/an</w:t>
      </w:r>
      <w:r w:rsidRPr="00EB1C9C">
        <w:t>.</w:t>
      </w:r>
    </w:p>
    <w:p w14:paraId="7E2E9032" w14:textId="77777777" w:rsidR="006C2C2E" w:rsidRDefault="006C2C2E" w:rsidP="006C2C2E">
      <w:r w:rsidRPr="00EB1C9C">
        <w:t xml:space="preserve">Cet écart s’explique en partie par la prédominance du secteur </w:t>
      </w:r>
      <w:r>
        <w:t xml:space="preserve">résidentiel. </w:t>
      </w:r>
    </w:p>
    <w:p w14:paraId="5B5EBD82" w14:textId="77777777" w:rsidR="006C2C2E" w:rsidRDefault="006C2C2E" w:rsidP="006C2C2E">
      <w:pPr>
        <w:keepNext/>
        <w:jc w:val="center"/>
      </w:pPr>
      <w:r>
        <w:rPr>
          <w:noProof/>
        </w:rPr>
        <w:drawing>
          <wp:inline distT="0" distB="0" distL="0" distR="0" wp14:anchorId="48CA1FCC" wp14:editId="271EA813">
            <wp:extent cx="4648200" cy="2571750"/>
            <wp:effectExtent l="0" t="0" r="0" b="0"/>
            <wp:docPr id="7173" name="Graphique 7173">
              <a:extLst xmlns:a="http://schemas.openxmlformats.org/drawingml/2006/main">
                <a:ext uri="{FF2B5EF4-FFF2-40B4-BE49-F238E27FC236}">
                  <a16:creationId xmlns:a16="http://schemas.microsoft.com/office/drawing/2014/main" id="{8CBDC298-F563-62CA-4747-E35710B0C1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C98FB11" w14:textId="73BC5A2B" w:rsidR="006C2C2E" w:rsidRDefault="006C2C2E" w:rsidP="00B12CF9">
      <w:pPr>
        <w:pStyle w:val="Lgende"/>
        <w:jc w:val="center"/>
      </w:pPr>
      <w:bookmarkStart w:id="41" w:name="_Toc126096828"/>
      <w:bookmarkStart w:id="42" w:name="_Toc129786566"/>
      <w:r>
        <w:t xml:space="preserve">Figure </w:t>
      </w:r>
      <w:r w:rsidR="00D56558">
        <w:fldChar w:fldCharType="begin"/>
      </w:r>
      <w:r w:rsidR="00D56558">
        <w:instrText xml:space="preserve"> SEQ Figure \* ARABIC </w:instrText>
      </w:r>
      <w:r w:rsidR="00D56558">
        <w:fldChar w:fldCharType="separate"/>
      </w:r>
      <w:r w:rsidR="00BA2D9B">
        <w:rPr>
          <w:noProof/>
        </w:rPr>
        <w:t>12</w:t>
      </w:r>
      <w:r w:rsidR="00D56558">
        <w:rPr>
          <w:noProof/>
        </w:rPr>
        <w:fldChar w:fldCharType="end"/>
      </w:r>
      <w:r>
        <w:t xml:space="preserve"> : Consommation par secteur et par habitant</w:t>
      </w:r>
      <w:bookmarkEnd w:id="41"/>
      <w:bookmarkEnd w:id="42"/>
    </w:p>
    <w:p w14:paraId="73E4A905" w14:textId="77777777" w:rsidR="006C2C2E" w:rsidRPr="00907BE7" w:rsidRDefault="006C2C2E" w:rsidP="00907BE7">
      <w:pPr>
        <w:pStyle w:val="Lgende"/>
        <w:jc w:val="center"/>
        <w:rPr>
          <w:b w:val="0"/>
          <w:bCs w:val="0"/>
          <w:i/>
          <w:iCs/>
          <w:color w:val="auto"/>
        </w:rPr>
      </w:pPr>
      <w:r w:rsidRPr="00907BE7">
        <w:rPr>
          <w:b w:val="0"/>
          <w:bCs w:val="0"/>
          <w:i/>
          <w:iCs/>
          <w:color w:val="auto"/>
        </w:rPr>
        <w:t>Source : ENERGIF (ROSE Ile-de-France) et INSEE</w:t>
      </w:r>
    </w:p>
    <w:p w14:paraId="5BBDF1E5" w14:textId="77777777" w:rsidR="006C2C2E" w:rsidRPr="00EC41E3" w:rsidRDefault="006C2C2E" w:rsidP="002708C8">
      <w:pPr>
        <w:pStyle w:val="Titre3"/>
        <w:ind w:left="2818"/>
      </w:pPr>
      <w:bookmarkStart w:id="43" w:name="_Toc129784721"/>
      <w:r w:rsidRPr="00EC41E3">
        <w:lastRenderedPageBreak/>
        <w:t>Evolution des consommations sur plus de 10 ans</w:t>
      </w:r>
      <w:bookmarkEnd w:id="43"/>
    </w:p>
    <w:p w14:paraId="106D9C61" w14:textId="6E1345E4" w:rsidR="006C2C2E" w:rsidRDefault="006C2C2E" w:rsidP="006C2C2E">
      <w:r>
        <w:t xml:space="preserve">La consommation globale à l’échelle de la CC de la Haute Vallée de Chevreuse a </w:t>
      </w:r>
      <w:r w:rsidRPr="004943EE">
        <w:rPr>
          <w:b/>
          <w:bCs/>
        </w:rPr>
        <w:t>diminué de près de 11% sur la période 2005-2018</w:t>
      </w:r>
      <w:r>
        <w:t>.</w:t>
      </w:r>
    </w:p>
    <w:p w14:paraId="5814F1EE" w14:textId="77777777" w:rsidR="006C2C2E" w:rsidRDefault="006C2C2E" w:rsidP="006C2C2E">
      <w:pPr>
        <w:keepNext/>
        <w:jc w:val="center"/>
      </w:pPr>
      <w:r w:rsidRPr="006803C0">
        <w:rPr>
          <w:noProof/>
        </w:rPr>
        <w:t xml:space="preserve"> </w:t>
      </w:r>
      <w:r w:rsidRPr="006803C0">
        <w:rPr>
          <w:noProof/>
        </w:rPr>
        <w:drawing>
          <wp:inline distT="0" distB="0" distL="0" distR="0" wp14:anchorId="6BED17C4" wp14:editId="60DCBEE3">
            <wp:extent cx="4411980" cy="2072640"/>
            <wp:effectExtent l="0" t="0" r="7620" b="3810"/>
            <wp:docPr id="7174" name="Graphique 7174">
              <a:extLst xmlns:a="http://schemas.openxmlformats.org/drawingml/2006/main">
                <a:ext uri="{FF2B5EF4-FFF2-40B4-BE49-F238E27FC236}">
                  <a16:creationId xmlns:a16="http://schemas.microsoft.com/office/drawing/2014/main" id="{3D8B2881-9EE2-577D-94BB-4337EF079A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92163F" w14:textId="6A5191FB" w:rsidR="006C2C2E" w:rsidRDefault="006C2C2E" w:rsidP="00B12CF9">
      <w:pPr>
        <w:pStyle w:val="Lgende"/>
        <w:jc w:val="center"/>
      </w:pPr>
      <w:bookmarkStart w:id="44" w:name="_Toc126096829"/>
      <w:bookmarkStart w:id="45" w:name="_Toc129786567"/>
      <w:r>
        <w:t xml:space="preserve">Figure </w:t>
      </w:r>
      <w:r w:rsidR="00D56558">
        <w:fldChar w:fldCharType="begin"/>
      </w:r>
      <w:r w:rsidR="00D56558">
        <w:instrText xml:space="preserve"> SEQ Figure \* ARABIC </w:instrText>
      </w:r>
      <w:r w:rsidR="00D56558">
        <w:fldChar w:fldCharType="separate"/>
      </w:r>
      <w:r w:rsidR="00BA2D9B">
        <w:rPr>
          <w:noProof/>
        </w:rPr>
        <w:t>13</w:t>
      </w:r>
      <w:r w:rsidR="00D56558">
        <w:rPr>
          <w:noProof/>
        </w:rPr>
        <w:fldChar w:fldCharType="end"/>
      </w:r>
      <w:r>
        <w:t xml:space="preserve"> : Evolution des consommations d'énergie de 2005 à 2018</w:t>
      </w:r>
      <w:bookmarkEnd w:id="44"/>
      <w:bookmarkEnd w:id="45"/>
    </w:p>
    <w:p w14:paraId="1D6C401D" w14:textId="77777777" w:rsidR="006C2C2E" w:rsidRPr="00907BE7" w:rsidRDefault="006C2C2E" w:rsidP="00907BE7">
      <w:pPr>
        <w:pStyle w:val="Lgende"/>
        <w:jc w:val="center"/>
        <w:rPr>
          <w:b w:val="0"/>
          <w:bCs w:val="0"/>
          <w:i/>
          <w:iCs/>
          <w:color w:val="auto"/>
        </w:rPr>
      </w:pPr>
      <w:r w:rsidRPr="00907BE7">
        <w:rPr>
          <w:b w:val="0"/>
          <w:bCs w:val="0"/>
          <w:i/>
          <w:iCs/>
          <w:color w:val="auto"/>
        </w:rPr>
        <w:t>Source : ENERGIF (ROSE Ile-de-France)</w:t>
      </w:r>
    </w:p>
    <w:p w14:paraId="6D7DCCD2" w14:textId="77777777" w:rsidR="00290079" w:rsidRDefault="00290079" w:rsidP="006C2C2E">
      <w:pPr>
        <w:rPr>
          <w:rFonts w:eastAsiaTheme="majorEastAsia"/>
        </w:rPr>
      </w:pPr>
    </w:p>
    <w:p w14:paraId="309A2218" w14:textId="3E7B9EED" w:rsidR="004220DC" w:rsidRDefault="00C36162" w:rsidP="004220DC">
      <w:pPr>
        <w:pStyle w:val="Style1"/>
      </w:pPr>
      <w:bookmarkStart w:id="46" w:name="_Toc129784722"/>
      <w:r>
        <w:t>Production d’énergies renouvelables</w:t>
      </w:r>
      <w:bookmarkEnd w:id="46"/>
    </w:p>
    <w:p w14:paraId="42816BF2" w14:textId="40E3EB20" w:rsidR="00C36162" w:rsidRDefault="00C36162" w:rsidP="008A0F26">
      <w:pPr>
        <w:pStyle w:val="Titre2"/>
        <w:ind w:left="1996" w:hanging="578"/>
      </w:pPr>
      <w:bookmarkStart w:id="47" w:name="_Toc129784723"/>
      <w:r>
        <w:t>Production d’électricité renouvelable</w:t>
      </w:r>
      <w:bookmarkEnd w:id="47"/>
    </w:p>
    <w:p w14:paraId="27C62B70" w14:textId="34709DB0" w:rsidR="00C36162" w:rsidRDefault="006F29EA" w:rsidP="002708C8">
      <w:pPr>
        <w:pStyle w:val="Titre3"/>
        <w:ind w:left="2818"/>
      </w:pPr>
      <w:bookmarkStart w:id="48" w:name="_Toc129784724"/>
      <w:r>
        <w:t>L’éolien terrestre</w:t>
      </w:r>
      <w:bookmarkEnd w:id="48"/>
      <w:r>
        <w:t xml:space="preserve"> </w:t>
      </w:r>
    </w:p>
    <w:p w14:paraId="30536467" w14:textId="0A3F9F35" w:rsidR="006F29EA" w:rsidRPr="00370AFE" w:rsidRDefault="006F29EA" w:rsidP="006C2C2E">
      <w:pPr>
        <w:rPr>
          <w:rStyle w:val="Rfrenceintense"/>
        </w:rPr>
      </w:pPr>
      <w:r w:rsidRPr="00370AFE">
        <w:rPr>
          <w:rStyle w:val="Rfrenceintense"/>
        </w:rPr>
        <w:t>Technologie</w:t>
      </w:r>
    </w:p>
    <w:p w14:paraId="5F5E464C" w14:textId="77777777" w:rsidR="006F29EA" w:rsidRDefault="006F29EA" w:rsidP="006F29EA">
      <w:r>
        <w:t xml:space="preserve">Le principe de fonctionnement d’une éolienne est le même que celui d’un moulin à vent : elle transforme l’énergie du vent en énergie mécanique (avec les pâles de l’hélice). Un alternateur permet ensuite de convertir cette énergie en énergie électrique. </w:t>
      </w:r>
    </w:p>
    <w:p w14:paraId="3EBBB7E3" w14:textId="77777777" w:rsidR="006F29EA" w:rsidRDefault="006F29EA" w:rsidP="006F29EA">
      <w:r>
        <w:t xml:space="preserve">On distingue trois types d’éoliennes selon leurs tailles : </w:t>
      </w:r>
    </w:p>
    <w:p w14:paraId="428A56FB" w14:textId="77777777" w:rsidR="006F29EA" w:rsidRPr="006F3EE1" w:rsidRDefault="006F29EA" w:rsidP="008A0F26">
      <w:pPr>
        <w:pStyle w:val="Paragraphedeliste"/>
        <w:numPr>
          <w:ilvl w:val="0"/>
          <w:numId w:val="8"/>
        </w:numPr>
        <w:spacing w:after="200" w:line="276" w:lineRule="auto"/>
      </w:pPr>
      <w:r w:rsidRPr="006F3EE1">
        <w:t>Le grand éolien (hauteur : &gt; 50m, puissance : &gt; 350 kW) : généralement installé dans des parcs industriels, les grandes éoliennes ont généralement des puissances de 1 à 4 MW (production de masse).</w:t>
      </w:r>
    </w:p>
    <w:p w14:paraId="5037BB04" w14:textId="77777777" w:rsidR="006F29EA" w:rsidRPr="006F3EE1" w:rsidRDefault="006F29EA" w:rsidP="008A0F26">
      <w:pPr>
        <w:pStyle w:val="Paragraphedeliste"/>
        <w:numPr>
          <w:ilvl w:val="0"/>
          <w:numId w:val="8"/>
        </w:numPr>
        <w:spacing w:after="200" w:line="276" w:lineRule="auto"/>
      </w:pPr>
      <w:r w:rsidRPr="006F3EE1">
        <w:t>Le moyen éolien (hauteur : 12 à 50 m, puissance : 36 à 350 kW) : utilisation par les PME/Industries.</w:t>
      </w:r>
    </w:p>
    <w:p w14:paraId="050E6E82" w14:textId="77777777" w:rsidR="006F29EA" w:rsidRPr="006F3EE1" w:rsidRDefault="006F29EA" w:rsidP="008A0F26">
      <w:pPr>
        <w:pStyle w:val="Paragraphedeliste"/>
        <w:numPr>
          <w:ilvl w:val="0"/>
          <w:numId w:val="8"/>
        </w:numPr>
        <w:spacing w:after="200" w:line="276" w:lineRule="auto"/>
      </w:pPr>
      <w:r w:rsidRPr="006F3EE1">
        <w:t>Le petit éolien (hauteur : &lt; 12m, puissance &lt; 36 kW) : Ces éoliennes ne nécessitant pas de permis de construire peuvent être installées sur des mâts ou sur des bâtiments. Elles peuvent être à axe horizontal ou vertical (production agricole domestique).</w:t>
      </w:r>
    </w:p>
    <w:p w14:paraId="56D4954D" w14:textId="539AAA28" w:rsidR="006F29EA" w:rsidRPr="00370AFE" w:rsidRDefault="006F29EA" w:rsidP="006C2C2E">
      <w:pPr>
        <w:rPr>
          <w:rStyle w:val="Rfrenceintense"/>
        </w:rPr>
      </w:pPr>
      <w:r w:rsidRPr="00370AFE">
        <w:rPr>
          <w:rStyle w:val="Rfrenceintense"/>
        </w:rPr>
        <w:t>Etat des lieux</w:t>
      </w:r>
      <w:r w:rsidR="00370AFE">
        <w:rPr>
          <w:rStyle w:val="Rfrenceintense"/>
        </w:rPr>
        <w:t xml:space="preserve"> sur le territoire</w:t>
      </w:r>
      <w:r w:rsidRPr="00370AFE">
        <w:rPr>
          <w:rStyle w:val="Rfrenceintense"/>
        </w:rPr>
        <w:t xml:space="preserve"> </w:t>
      </w:r>
    </w:p>
    <w:p w14:paraId="4267D749" w14:textId="784A6B36" w:rsidR="006F29EA" w:rsidRDefault="006F29EA" w:rsidP="006F29EA">
      <w:r>
        <w:t>Source : ENERGIF, ROSE Ile-de-</w:t>
      </w:r>
      <w:r w:rsidR="004220DC">
        <w:t>France, 2020</w:t>
      </w:r>
    </w:p>
    <w:p w14:paraId="1D4EAB6D" w14:textId="1E1AAB47" w:rsidR="00193B56" w:rsidRDefault="006F29EA" w:rsidP="006F29EA">
      <w:r>
        <w:t>Il n’existe pas de parc éolien en fonctionnement, ou en projet, recensé sur le territoire.</w:t>
      </w:r>
    </w:p>
    <w:p w14:paraId="07E3FB84" w14:textId="27815C20" w:rsidR="006F29EA" w:rsidRDefault="006F29EA" w:rsidP="00156807">
      <w:pPr>
        <w:pStyle w:val="Lgende"/>
        <w:keepNext/>
        <w:jc w:val="center"/>
      </w:pPr>
      <w:bookmarkStart w:id="49" w:name="_Toc126093061"/>
      <w:bookmarkStart w:id="50" w:name="_Toc127369955"/>
      <w:r>
        <w:lastRenderedPageBreak/>
        <w:t xml:space="preserve">Tableau </w:t>
      </w:r>
      <w:r w:rsidR="00D56558">
        <w:fldChar w:fldCharType="begin"/>
      </w:r>
      <w:r w:rsidR="00D56558">
        <w:instrText xml:space="preserve"> SEQ Tableau \* ARABIC </w:instrText>
      </w:r>
      <w:r w:rsidR="00D56558">
        <w:fldChar w:fldCharType="separate"/>
      </w:r>
      <w:r>
        <w:rPr>
          <w:noProof/>
        </w:rPr>
        <w:t>1</w:t>
      </w:r>
      <w:r w:rsidR="00D56558">
        <w:rPr>
          <w:noProof/>
        </w:rPr>
        <w:fldChar w:fldCharType="end"/>
      </w:r>
      <w:r>
        <w:t xml:space="preserve"> : </w:t>
      </w:r>
      <w:r>
        <w:rPr>
          <w:rFonts w:cs="Calibri"/>
        </w:rPr>
        <w:t>É</w:t>
      </w:r>
      <w:r>
        <w:t xml:space="preserve">olien - </w:t>
      </w:r>
      <w:r>
        <w:rPr>
          <w:rFonts w:cs="Calibri"/>
        </w:rPr>
        <w:t>É</w:t>
      </w:r>
      <w:r>
        <w:t>tat des lieux</w:t>
      </w:r>
      <w:bookmarkEnd w:id="49"/>
      <w:bookmarkEnd w:id="50"/>
    </w:p>
    <w:tbl>
      <w:tblPr>
        <w:tblStyle w:val="AKAtabtotal"/>
        <w:tblW w:w="0" w:type="auto"/>
        <w:tblLook w:val="04A0" w:firstRow="1" w:lastRow="0" w:firstColumn="1" w:lastColumn="0" w:noHBand="0" w:noVBand="1"/>
      </w:tblPr>
      <w:tblGrid>
        <w:gridCol w:w="3067"/>
        <w:gridCol w:w="3067"/>
        <w:gridCol w:w="3068"/>
      </w:tblGrid>
      <w:tr w:rsidR="006F29EA" w14:paraId="0EA93914" w14:textId="77777777" w:rsidTr="006F29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5034A4F5" w14:textId="77777777" w:rsidR="006F29EA" w:rsidRPr="006F3EE1" w:rsidRDefault="006F29EA" w:rsidP="00231BC1">
            <w:pPr>
              <w:rPr>
                <w:b w:val="0"/>
                <w:bCs/>
                <w:color w:val="FFFFFF" w:themeColor="background1"/>
              </w:rPr>
            </w:pPr>
            <w:r w:rsidRPr="006F3EE1">
              <w:rPr>
                <w:b w:val="0"/>
                <w:bCs/>
                <w:color w:val="FFFFFF" w:themeColor="background1"/>
              </w:rPr>
              <w:t xml:space="preserve">Filière : </w:t>
            </w:r>
            <w:r w:rsidRPr="006F3EE1">
              <w:rPr>
                <w:rFonts w:cs="Calibri"/>
                <w:b w:val="0"/>
                <w:bCs/>
                <w:color w:val="FFFFFF" w:themeColor="background1"/>
              </w:rPr>
              <w:t>É</w:t>
            </w:r>
            <w:r w:rsidRPr="006F3EE1">
              <w:rPr>
                <w:b w:val="0"/>
                <w:bCs/>
                <w:color w:val="FFFFFF" w:themeColor="background1"/>
              </w:rPr>
              <w:t>olien</w:t>
            </w:r>
          </w:p>
        </w:tc>
      </w:tr>
      <w:tr w:rsidR="006F29EA" w14:paraId="6AE170AB" w14:textId="77777777" w:rsidTr="006F29EA">
        <w:tc>
          <w:tcPr>
            <w:cnfStyle w:val="001000000000" w:firstRow="0" w:lastRow="0" w:firstColumn="1" w:lastColumn="0" w:oddVBand="0" w:evenVBand="0" w:oddHBand="0" w:evenHBand="0" w:firstRowFirstColumn="0" w:firstRowLastColumn="0" w:lastRowFirstColumn="0" w:lastRowLastColumn="0"/>
            <w:tcW w:w="3067" w:type="dxa"/>
          </w:tcPr>
          <w:p w14:paraId="0CFF613A" w14:textId="77777777" w:rsidR="006F29EA" w:rsidRDefault="006F29EA" w:rsidP="00231BC1">
            <w:pPr>
              <w:jc w:val="center"/>
            </w:pPr>
            <w:r>
              <w:t>Nombre d’installations</w:t>
            </w:r>
          </w:p>
        </w:tc>
        <w:tc>
          <w:tcPr>
            <w:tcW w:w="3067" w:type="dxa"/>
            <w:shd w:val="clear" w:color="auto" w:fill="FBE0DA" w:themeFill="accent2" w:themeFillTint="33"/>
          </w:tcPr>
          <w:p w14:paraId="3C41A0F2" w14:textId="77777777" w:rsidR="006F29EA" w:rsidRDefault="006F29EA" w:rsidP="00231BC1">
            <w:pPr>
              <w:jc w:val="center"/>
              <w:cnfStyle w:val="000000000000" w:firstRow="0" w:lastRow="0" w:firstColumn="0" w:lastColumn="0" w:oddVBand="0" w:evenVBand="0" w:oddHBand="0" w:evenHBand="0" w:firstRowFirstColumn="0" w:firstRowLastColumn="0" w:lastRowFirstColumn="0" w:lastRowLastColumn="0"/>
            </w:pPr>
            <w:r>
              <w:t>Puissance totale</w:t>
            </w:r>
          </w:p>
        </w:tc>
        <w:tc>
          <w:tcPr>
            <w:tcW w:w="3068" w:type="dxa"/>
            <w:shd w:val="clear" w:color="auto" w:fill="FBE0DA" w:themeFill="accent2" w:themeFillTint="33"/>
          </w:tcPr>
          <w:p w14:paraId="3CC84A91" w14:textId="77777777" w:rsidR="006F29EA" w:rsidRDefault="006F29EA" w:rsidP="00231BC1">
            <w:pPr>
              <w:jc w:val="center"/>
              <w:cnfStyle w:val="000000000000" w:firstRow="0" w:lastRow="0" w:firstColumn="0" w:lastColumn="0" w:oddVBand="0" w:evenVBand="0" w:oddHBand="0" w:evenHBand="0" w:firstRowFirstColumn="0" w:firstRowLastColumn="0" w:lastRowFirstColumn="0" w:lastRowLastColumn="0"/>
            </w:pPr>
            <w:r>
              <w:t>Production annuelle</w:t>
            </w:r>
          </w:p>
        </w:tc>
      </w:tr>
      <w:tr w:rsidR="006F29EA" w14:paraId="06938DB0" w14:textId="77777777" w:rsidTr="006F29EA">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65AC41B6" w14:textId="77777777" w:rsidR="006F29EA" w:rsidRDefault="006F29EA" w:rsidP="00231BC1">
            <w:pPr>
              <w:jc w:val="center"/>
            </w:pPr>
            <w:r>
              <w:t>0</w:t>
            </w:r>
          </w:p>
        </w:tc>
        <w:tc>
          <w:tcPr>
            <w:tcW w:w="3067" w:type="dxa"/>
          </w:tcPr>
          <w:p w14:paraId="1C61CB0C" w14:textId="77777777" w:rsidR="006F29EA" w:rsidRDefault="006F29EA" w:rsidP="00231BC1">
            <w:pPr>
              <w:jc w:val="center"/>
              <w:cnfStyle w:val="000000000000" w:firstRow="0" w:lastRow="0" w:firstColumn="0" w:lastColumn="0" w:oddVBand="0" w:evenVBand="0" w:oddHBand="0" w:evenHBand="0" w:firstRowFirstColumn="0" w:firstRowLastColumn="0" w:lastRowFirstColumn="0" w:lastRowLastColumn="0"/>
            </w:pPr>
            <w:r>
              <w:t>0 MW</w:t>
            </w:r>
          </w:p>
        </w:tc>
        <w:tc>
          <w:tcPr>
            <w:tcW w:w="3068" w:type="dxa"/>
          </w:tcPr>
          <w:p w14:paraId="6EB73C5C" w14:textId="77777777" w:rsidR="006F29EA" w:rsidRDefault="006F29EA" w:rsidP="00231BC1">
            <w:pPr>
              <w:jc w:val="center"/>
              <w:cnfStyle w:val="000000000000" w:firstRow="0" w:lastRow="0" w:firstColumn="0" w:lastColumn="0" w:oddVBand="0" w:evenVBand="0" w:oddHBand="0" w:evenHBand="0" w:firstRowFirstColumn="0" w:firstRowLastColumn="0" w:lastRowFirstColumn="0" w:lastRowLastColumn="0"/>
            </w:pPr>
            <w:r>
              <w:t>0 MWh</w:t>
            </w:r>
          </w:p>
        </w:tc>
      </w:tr>
    </w:tbl>
    <w:p w14:paraId="376776E5" w14:textId="2801F7ED" w:rsidR="00370AFE" w:rsidRDefault="00B63347" w:rsidP="002708C8">
      <w:pPr>
        <w:pStyle w:val="Titre3"/>
        <w:ind w:left="2818"/>
      </w:pPr>
      <w:bookmarkStart w:id="51" w:name="_Toc129784725"/>
      <w:r>
        <w:t>Le s</w:t>
      </w:r>
      <w:r w:rsidR="00370AFE">
        <w:t xml:space="preserve">olaire </w:t>
      </w:r>
      <w:r>
        <w:t>photovoltaïque</w:t>
      </w:r>
      <w:bookmarkEnd w:id="51"/>
    </w:p>
    <w:p w14:paraId="3FE5A166" w14:textId="71C75AF1" w:rsidR="00B63347" w:rsidRPr="00B63347" w:rsidRDefault="00B63347" w:rsidP="00370AFE">
      <w:pPr>
        <w:rPr>
          <w:b/>
          <w:bCs/>
          <w:smallCaps/>
          <w:color w:val="EC694A" w:themeColor="accent2"/>
          <w:spacing w:val="5"/>
          <w:u w:val="single"/>
        </w:rPr>
      </w:pPr>
      <w:r w:rsidRPr="00370AFE">
        <w:rPr>
          <w:rStyle w:val="Rfrenceintense"/>
        </w:rPr>
        <w:t>Technologie</w:t>
      </w:r>
    </w:p>
    <w:p w14:paraId="123A5539" w14:textId="23FB8B66" w:rsidR="00370AFE" w:rsidRDefault="00370AFE" w:rsidP="00370AFE">
      <w:r>
        <w:t xml:space="preserve">Les panneaux photovoltaïques transforment l’énergie solaire en énergie électrique. Le principe de fonctionnement consiste à se servir de l’énergie des photons pour créer un courant électrique au sein de la cellule photovoltaïque. </w:t>
      </w:r>
    </w:p>
    <w:p w14:paraId="67E5B934" w14:textId="041F9BC1" w:rsidR="00370AFE" w:rsidRDefault="00370AFE" w:rsidP="00370AFE">
      <w:r>
        <w:t>Ce courant électrique est ensuite transformé (via un onduleur) de courant continu en alternatif, avant de le redistribuer sur le réseau ou bien de l’utiliser sur place (autoconsommation).</w:t>
      </w:r>
    </w:p>
    <w:p w14:paraId="72FEFF31" w14:textId="77777777" w:rsidR="00370AFE" w:rsidRDefault="00370AFE" w:rsidP="00370AFE">
      <w:r>
        <w:t>Les panneaux peuvent être installés en toiture de bâtiments (existants ou neufs) mais également sur des ombrières de parking. Des centrales au sol peuvent également être construites afin de valoriser le foncier non exploité (centre d’enfouissement par exemple).</w:t>
      </w:r>
    </w:p>
    <w:p w14:paraId="4BA6EA78" w14:textId="7F3F6B6A" w:rsidR="00B63347" w:rsidRPr="00B63347" w:rsidRDefault="00156807" w:rsidP="00370AFE">
      <w:pPr>
        <w:rPr>
          <w:b/>
          <w:bCs/>
          <w:smallCaps/>
          <w:color w:val="EC694A" w:themeColor="accent2"/>
          <w:spacing w:val="5"/>
          <w:u w:val="single"/>
        </w:rPr>
      </w:pPr>
      <w:r>
        <w:rPr>
          <w:rStyle w:val="Rfrenceintense"/>
        </w:rPr>
        <w:br/>
      </w:r>
      <w:r w:rsidR="00B63347" w:rsidRPr="00370AFE">
        <w:rPr>
          <w:rStyle w:val="Rfrenceintense"/>
        </w:rPr>
        <w:t>Etat des lieux</w:t>
      </w:r>
      <w:r w:rsidR="00B63347">
        <w:rPr>
          <w:rStyle w:val="Rfrenceintense"/>
        </w:rPr>
        <w:t xml:space="preserve"> sur le territoire</w:t>
      </w:r>
      <w:r w:rsidR="00B63347" w:rsidRPr="00370AFE">
        <w:rPr>
          <w:rStyle w:val="Rfrenceintense"/>
        </w:rPr>
        <w:t xml:space="preserve"> </w:t>
      </w:r>
    </w:p>
    <w:p w14:paraId="2A121E1A" w14:textId="56B0BFEB" w:rsidR="00370AFE" w:rsidRDefault="00370AFE" w:rsidP="00370AFE">
      <w:r>
        <w:t>Source : ENERGIF, ROSE Ile-de-</w:t>
      </w:r>
      <w:r w:rsidR="004220DC">
        <w:t>France, 2020</w:t>
      </w:r>
    </w:p>
    <w:p w14:paraId="141993AE" w14:textId="77777777" w:rsidR="00370AFE" w:rsidRDefault="00370AFE" w:rsidP="00370AFE">
      <w:r>
        <w:t>Le territoire possède déjà une production d’électricité grâce à des installations photovoltaïques. La production en 2020 s’élève à 106 MWh, répartie sur les 3 communes du territoire (Chevreuse, Le Mesnil-Saint-Denis et Saint-Rémy-lès-Chevreuse). La commune du Mesnil-Saint-Denis produit à elle seule 45% de cette énergie, soit 51 MWh d’électricité.</w:t>
      </w:r>
    </w:p>
    <w:p w14:paraId="34433196" w14:textId="77777777" w:rsidR="00370AFE" w:rsidRDefault="00370AFE" w:rsidP="00370AFE"/>
    <w:p w14:paraId="393A2A93" w14:textId="0DD2BC95" w:rsidR="00370AFE" w:rsidRDefault="00370AFE" w:rsidP="00B63347">
      <w:pPr>
        <w:pBdr>
          <w:top w:val="single" w:sz="4" w:space="1" w:color="auto"/>
          <w:left w:val="single" w:sz="4" w:space="4" w:color="auto"/>
          <w:bottom w:val="single" w:sz="4" w:space="6" w:color="auto"/>
          <w:right w:val="single" w:sz="4" w:space="4" w:color="auto"/>
        </w:pBdr>
        <w:shd w:val="clear" w:color="auto" w:fill="F7C2B6" w:themeFill="accent2" w:themeFillTint="66"/>
      </w:pPr>
      <w:r>
        <w:t xml:space="preserve">Pour la commune du Mesnil-Saint-Denis, il est prévu l’installation d’environ 100 m² de panneaux photovoltaïques en 2025/2026 dans le dans le cadre de la réhabilitation de l'école du Bois du </w:t>
      </w:r>
      <w:proofErr w:type="spellStart"/>
      <w:r>
        <w:t>Fay</w:t>
      </w:r>
      <w:proofErr w:type="spellEnd"/>
      <w:r>
        <w:t>.</w:t>
      </w:r>
    </w:p>
    <w:p w14:paraId="4D0D9F86" w14:textId="77777777" w:rsidR="00156807" w:rsidRDefault="00156807" w:rsidP="00370AFE">
      <w:pPr>
        <w:pStyle w:val="Lgende"/>
        <w:keepNext/>
        <w:jc w:val="left"/>
      </w:pPr>
      <w:bookmarkStart w:id="52" w:name="_Toc126093062"/>
      <w:bookmarkStart w:id="53" w:name="_Toc127369956"/>
    </w:p>
    <w:p w14:paraId="58288677" w14:textId="3F08BB7E" w:rsidR="00370AFE" w:rsidRPr="00EC41E3" w:rsidRDefault="00370AFE" w:rsidP="00156807">
      <w:pPr>
        <w:pStyle w:val="Lgende"/>
        <w:keepNext/>
        <w:jc w:val="center"/>
      </w:pPr>
      <w:r>
        <w:t xml:space="preserve">Tableau </w:t>
      </w:r>
      <w:r w:rsidR="00D56558">
        <w:fldChar w:fldCharType="begin"/>
      </w:r>
      <w:r w:rsidR="00D56558">
        <w:instrText xml:space="preserve"> SEQ Tableau \* ARABIC </w:instrText>
      </w:r>
      <w:r w:rsidR="00D56558">
        <w:fldChar w:fldCharType="separate"/>
      </w:r>
      <w:r>
        <w:rPr>
          <w:noProof/>
        </w:rPr>
        <w:t>2</w:t>
      </w:r>
      <w:r w:rsidR="00D56558">
        <w:rPr>
          <w:noProof/>
        </w:rPr>
        <w:fldChar w:fldCharType="end"/>
      </w:r>
      <w:r>
        <w:t xml:space="preserve"> : Solaire photovoltaïque - </w:t>
      </w:r>
      <w:r>
        <w:rPr>
          <w:rFonts w:cs="Calibri"/>
        </w:rPr>
        <w:t>É</w:t>
      </w:r>
      <w:r>
        <w:t>tat des lieux</w:t>
      </w:r>
      <w:bookmarkEnd w:id="52"/>
      <w:bookmarkEnd w:id="53"/>
    </w:p>
    <w:tbl>
      <w:tblPr>
        <w:tblStyle w:val="AKAtab1"/>
        <w:tblW w:w="0" w:type="auto"/>
        <w:tblLook w:val="04A0" w:firstRow="1" w:lastRow="0" w:firstColumn="1" w:lastColumn="0" w:noHBand="0" w:noVBand="1"/>
      </w:tblPr>
      <w:tblGrid>
        <w:gridCol w:w="3067"/>
        <w:gridCol w:w="3067"/>
        <w:gridCol w:w="3068"/>
      </w:tblGrid>
      <w:tr w:rsidR="00370AFE" w14:paraId="1FE5AD9A" w14:textId="77777777" w:rsidTr="00370A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25BB5CD9" w14:textId="77777777" w:rsidR="00370AFE" w:rsidRPr="006F3EE1" w:rsidRDefault="00370AFE" w:rsidP="00231BC1">
            <w:pPr>
              <w:rPr>
                <w:b w:val="0"/>
                <w:bCs/>
                <w:color w:val="FFFFFF" w:themeColor="background1"/>
              </w:rPr>
            </w:pPr>
            <w:r w:rsidRPr="006F3EE1">
              <w:rPr>
                <w:b w:val="0"/>
                <w:bCs/>
                <w:color w:val="FFFFFF" w:themeColor="background1"/>
              </w:rPr>
              <w:t xml:space="preserve">Filière : </w:t>
            </w:r>
            <w:r>
              <w:rPr>
                <w:b w:val="0"/>
                <w:bCs/>
                <w:color w:val="FFFFFF" w:themeColor="background1"/>
              </w:rPr>
              <w:t>Photovoltaïque</w:t>
            </w:r>
          </w:p>
        </w:tc>
      </w:tr>
      <w:tr w:rsidR="00370AFE" w14:paraId="5F338DF3" w14:textId="77777777" w:rsidTr="00370A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4941AC56" w14:textId="77777777" w:rsidR="00370AFE" w:rsidRDefault="00370AFE" w:rsidP="00231BC1">
            <w:pPr>
              <w:jc w:val="center"/>
            </w:pPr>
            <w:r>
              <w:t>Nombre d’installations</w:t>
            </w:r>
          </w:p>
        </w:tc>
        <w:tc>
          <w:tcPr>
            <w:tcW w:w="3067" w:type="dxa"/>
            <w:shd w:val="clear" w:color="auto" w:fill="FBE0DA" w:themeFill="accent2" w:themeFillTint="33"/>
          </w:tcPr>
          <w:p w14:paraId="777D2C57" w14:textId="77777777" w:rsidR="00370AFE" w:rsidRDefault="00370AFE"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181B024A" w14:textId="77777777" w:rsidR="00370AFE" w:rsidRDefault="00370AFE"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370AFE" w14:paraId="3D90110A" w14:textId="77777777" w:rsidTr="00370A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57D97E8A" w14:textId="77777777" w:rsidR="00370AFE" w:rsidRDefault="00370AFE" w:rsidP="00231BC1">
            <w:pPr>
              <w:jc w:val="center"/>
            </w:pPr>
            <w:commentRangeStart w:id="54"/>
            <w:r>
              <w:t>50</w:t>
            </w:r>
            <w:commentRangeEnd w:id="54"/>
            <w:r w:rsidR="00BE1934">
              <w:rPr>
                <w:rStyle w:val="Marquedecommentaire"/>
              </w:rPr>
              <w:commentReference w:id="54"/>
            </w:r>
          </w:p>
        </w:tc>
        <w:tc>
          <w:tcPr>
            <w:tcW w:w="3067" w:type="dxa"/>
          </w:tcPr>
          <w:p w14:paraId="4DD8571D" w14:textId="77777777" w:rsidR="00370AFE" w:rsidRDefault="00370AFE" w:rsidP="00231BC1">
            <w:pPr>
              <w:jc w:val="center"/>
              <w:cnfStyle w:val="000000010000" w:firstRow="0" w:lastRow="0" w:firstColumn="0" w:lastColumn="0" w:oddVBand="0" w:evenVBand="0" w:oddHBand="0" w:evenHBand="1" w:firstRowFirstColumn="0" w:firstRowLastColumn="0" w:lastRowFirstColumn="0" w:lastRowLastColumn="0"/>
            </w:pPr>
            <w:r>
              <w:t xml:space="preserve">0,16 </w:t>
            </w:r>
            <w:proofErr w:type="spellStart"/>
            <w:r>
              <w:t>MWc</w:t>
            </w:r>
            <w:proofErr w:type="spellEnd"/>
          </w:p>
        </w:tc>
        <w:tc>
          <w:tcPr>
            <w:tcW w:w="3068" w:type="dxa"/>
          </w:tcPr>
          <w:p w14:paraId="7F92CB59" w14:textId="77777777" w:rsidR="00370AFE" w:rsidRDefault="00370AFE" w:rsidP="00231BC1">
            <w:pPr>
              <w:jc w:val="center"/>
              <w:cnfStyle w:val="000000010000" w:firstRow="0" w:lastRow="0" w:firstColumn="0" w:lastColumn="0" w:oddVBand="0" w:evenVBand="0" w:oddHBand="0" w:evenHBand="1" w:firstRowFirstColumn="0" w:firstRowLastColumn="0" w:lastRowFirstColumn="0" w:lastRowLastColumn="0"/>
            </w:pPr>
            <w:r>
              <w:t>106 MWh</w:t>
            </w:r>
          </w:p>
        </w:tc>
      </w:tr>
    </w:tbl>
    <w:p w14:paraId="5AEA8246" w14:textId="77777777" w:rsidR="00370AFE" w:rsidRDefault="00370AFE" w:rsidP="00370AFE"/>
    <w:p w14:paraId="7194A8DE" w14:textId="77777777" w:rsidR="00370AFE" w:rsidRDefault="00370AFE" w:rsidP="00370AFE">
      <w:pPr>
        <w:keepNext/>
        <w:jc w:val="center"/>
      </w:pPr>
      <w:r>
        <w:rPr>
          <w:noProof/>
        </w:rPr>
        <w:lastRenderedPageBreak/>
        <w:drawing>
          <wp:inline distT="0" distB="0" distL="0" distR="0" wp14:anchorId="265A89C4" wp14:editId="07F33354">
            <wp:extent cx="4580255" cy="2812415"/>
            <wp:effectExtent l="0" t="0" r="10795" b="6985"/>
            <wp:docPr id="32" name="Graphique 32">
              <a:extLst xmlns:a="http://schemas.openxmlformats.org/drawingml/2006/main">
                <a:ext uri="{FF2B5EF4-FFF2-40B4-BE49-F238E27FC236}">
                  <a16:creationId xmlns:a16="http://schemas.microsoft.com/office/drawing/2014/main" id="{79731962-47E8-EF98-7590-430363B8B9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F1F4D00" w14:textId="60CB3DC8" w:rsidR="00370AFE" w:rsidRDefault="00370AFE" w:rsidP="00370AFE">
      <w:pPr>
        <w:pStyle w:val="Lgende"/>
        <w:jc w:val="center"/>
      </w:pPr>
      <w:bookmarkStart w:id="55" w:name="_Toc126096830"/>
      <w:bookmarkStart w:id="56" w:name="_Toc129786568"/>
      <w:r>
        <w:t xml:space="preserve">Figure </w:t>
      </w:r>
      <w:r w:rsidR="00D56558">
        <w:fldChar w:fldCharType="begin"/>
      </w:r>
      <w:r w:rsidR="00D56558">
        <w:instrText xml:space="preserve"> SEQ Figure \* ARABIC </w:instrText>
      </w:r>
      <w:r w:rsidR="00D56558">
        <w:fldChar w:fldCharType="separate"/>
      </w:r>
      <w:r w:rsidR="00BA2D9B">
        <w:rPr>
          <w:noProof/>
        </w:rPr>
        <w:t>14</w:t>
      </w:r>
      <w:r w:rsidR="00D56558">
        <w:rPr>
          <w:noProof/>
        </w:rPr>
        <w:fldChar w:fldCharType="end"/>
      </w:r>
      <w:r>
        <w:t xml:space="preserve"> : Consommation par secteur et par habitant</w:t>
      </w:r>
      <w:bookmarkEnd w:id="55"/>
      <w:bookmarkEnd w:id="56"/>
    </w:p>
    <w:p w14:paraId="645A2AB7" w14:textId="1EEFC020" w:rsidR="00156807" w:rsidRPr="00193B56" w:rsidRDefault="00370AFE" w:rsidP="00193B56">
      <w:pPr>
        <w:pStyle w:val="Lgende"/>
        <w:jc w:val="center"/>
        <w:rPr>
          <w:b w:val="0"/>
          <w:bCs w:val="0"/>
          <w:i/>
          <w:iCs/>
          <w:color w:val="auto"/>
        </w:rPr>
      </w:pPr>
      <w:r w:rsidRPr="00907BE7">
        <w:rPr>
          <w:b w:val="0"/>
          <w:bCs w:val="0"/>
          <w:i/>
          <w:iCs/>
          <w:color w:val="auto"/>
        </w:rPr>
        <w:t>Source : ENERGIF (ROSE Ile-de-France)</w:t>
      </w:r>
    </w:p>
    <w:p w14:paraId="1E7A4AA1" w14:textId="7DD3F6D9" w:rsidR="002708C8" w:rsidRPr="00156807" w:rsidRDefault="002708C8" w:rsidP="00156807">
      <w:pPr>
        <w:pStyle w:val="Titre3"/>
        <w:ind w:left="2818"/>
      </w:pPr>
      <w:bookmarkStart w:id="57" w:name="_Toc129784726"/>
      <w:r>
        <w:t xml:space="preserve">Le solaire </w:t>
      </w:r>
      <w:r w:rsidR="00156807">
        <w:t>thermodynamique</w:t>
      </w:r>
      <w:bookmarkEnd w:id="57"/>
    </w:p>
    <w:p w14:paraId="7EF013F5" w14:textId="77777777" w:rsidR="00156807" w:rsidRPr="00B63347" w:rsidRDefault="00156807" w:rsidP="00156807">
      <w:pPr>
        <w:rPr>
          <w:b/>
          <w:bCs/>
          <w:smallCaps/>
          <w:color w:val="EC694A" w:themeColor="accent2"/>
          <w:spacing w:val="5"/>
          <w:u w:val="single"/>
        </w:rPr>
      </w:pPr>
      <w:r w:rsidRPr="00370AFE">
        <w:rPr>
          <w:rStyle w:val="Rfrenceintense"/>
        </w:rPr>
        <w:t>Technologie</w:t>
      </w:r>
    </w:p>
    <w:p w14:paraId="2DE7B3AF" w14:textId="2CEBEB00" w:rsidR="00156807" w:rsidRDefault="00156807" w:rsidP="00156807">
      <w:r w:rsidRPr="00156807">
        <w:t>Le solaire thermodynamique désigne l’ensemble des techniques visant à transformer l’énergie du rayonnement solaire en chaleur pour la convertir en énergie électrique, au moyen d’un cycle thermodynamique moteur couplé à une génératrice électrique (une turbine et un générateur, par exemple). Le solaire thermodynamique est principalement destiné aux pays à fort ensoleillement et permet, contrairement aux centrales photovoltaïques, de lisser plus facilement la production grâce à un stockage thermique tampon moins onéreux que les systèmes de batterie.</w:t>
      </w:r>
      <w:r>
        <w:tab/>
      </w:r>
    </w:p>
    <w:p w14:paraId="61707C63" w14:textId="26B94DBB" w:rsidR="00156807" w:rsidRPr="00B63347" w:rsidRDefault="00156807" w:rsidP="00156807">
      <w:pPr>
        <w:rPr>
          <w:b/>
          <w:bCs/>
          <w:smallCaps/>
          <w:color w:val="EC694A" w:themeColor="accent2"/>
          <w:spacing w:val="5"/>
          <w:u w:val="single"/>
        </w:rPr>
      </w:pPr>
      <w:r>
        <w:rPr>
          <w:rStyle w:val="Rfrenceintense"/>
        </w:rPr>
        <w:br/>
      </w:r>
      <w:r w:rsidRPr="00370AFE">
        <w:rPr>
          <w:rStyle w:val="Rfrenceintense"/>
        </w:rPr>
        <w:t>Etat des lieux</w:t>
      </w:r>
      <w:r>
        <w:rPr>
          <w:rStyle w:val="Rfrenceintense"/>
        </w:rPr>
        <w:t xml:space="preserve"> sur le territoire</w:t>
      </w:r>
      <w:r w:rsidRPr="00370AFE">
        <w:rPr>
          <w:rStyle w:val="Rfrenceintense"/>
        </w:rPr>
        <w:t xml:space="preserve"> </w:t>
      </w:r>
    </w:p>
    <w:p w14:paraId="3360CF83" w14:textId="6FA41321" w:rsidR="00156807" w:rsidRDefault="00156807" w:rsidP="00156807">
      <w:r>
        <w:t>Source : ENERGIF, ROSE Ile-de-</w:t>
      </w:r>
      <w:r w:rsidR="004220DC">
        <w:t>France, 2020</w:t>
      </w:r>
    </w:p>
    <w:p w14:paraId="0C713363" w14:textId="1B2E356B" w:rsidR="00156807" w:rsidRDefault="00156807" w:rsidP="00156807">
      <w:r>
        <w:t>Il n’existe pas d’installation de solaire thermodynamique, en fonctionnement ou en projet, recensé sur le territoire.</w:t>
      </w:r>
    </w:p>
    <w:p w14:paraId="7DDAC5EB" w14:textId="77777777" w:rsidR="00156807" w:rsidRDefault="00156807" w:rsidP="00156807">
      <w:pPr>
        <w:pStyle w:val="Lgende"/>
        <w:keepNext/>
        <w:jc w:val="left"/>
      </w:pPr>
    </w:p>
    <w:p w14:paraId="4CE7D71C" w14:textId="27E54685" w:rsidR="00156807" w:rsidRPr="00EC41E3" w:rsidRDefault="00156807" w:rsidP="00156807">
      <w:pPr>
        <w:pStyle w:val="Lgende"/>
        <w:keepNext/>
        <w:jc w:val="center"/>
      </w:pPr>
      <w:r>
        <w:t xml:space="preserve">Tableau </w:t>
      </w:r>
      <w:r w:rsidR="00D56558">
        <w:fldChar w:fldCharType="begin"/>
      </w:r>
      <w:r w:rsidR="00D56558">
        <w:instrText xml:space="preserve"> SEQ Tableau \* ARABIC </w:instrText>
      </w:r>
      <w:r w:rsidR="00D56558">
        <w:fldChar w:fldCharType="separate"/>
      </w:r>
      <w:r>
        <w:rPr>
          <w:noProof/>
        </w:rPr>
        <w:t>2</w:t>
      </w:r>
      <w:r w:rsidR="00D56558">
        <w:rPr>
          <w:noProof/>
        </w:rPr>
        <w:fldChar w:fldCharType="end"/>
      </w:r>
      <w:r>
        <w:t xml:space="preserve"> : Solaire thermodynamique - </w:t>
      </w:r>
      <w:r>
        <w:rPr>
          <w:rFonts w:cs="Calibri"/>
        </w:rPr>
        <w:t>É</w:t>
      </w:r>
      <w:r>
        <w:t>tat des lieux</w:t>
      </w:r>
    </w:p>
    <w:tbl>
      <w:tblPr>
        <w:tblStyle w:val="AKAtab1"/>
        <w:tblW w:w="0" w:type="auto"/>
        <w:tblLook w:val="04A0" w:firstRow="1" w:lastRow="0" w:firstColumn="1" w:lastColumn="0" w:noHBand="0" w:noVBand="1"/>
      </w:tblPr>
      <w:tblGrid>
        <w:gridCol w:w="3067"/>
        <w:gridCol w:w="3067"/>
        <w:gridCol w:w="3068"/>
      </w:tblGrid>
      <w:tr w:rsidR="00156807" w14:paraId="6CF1ADF3" w14:textId="77777777" w:rsidTr="00132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7534280F" w14:textId="77777777" w:rsidR="00156807" w:rsidRPr="006F3EE1" w:rsidRDefault="00156807" w:rsidP="0013257C">
            <w:pPr>
              <w:rPr>
                <w:b w:val="0"/>
                <w:bCs/>
                <w:color w:val="FFFFFF" w:themeColor="background1"/>
              </w:rPr>
            </w:pPr>
            <w:r w:rsidRPr="006F3EE1">
              <w:rPr>
                <w:b w:val="0"/>
                <w:bCs/>
                <w:color w:val="FFFFFF" w:themeColor="background1"/>
              </w:rPr>
              <w:t xml:space="preserve">Filière : </w:t>
            </w:r>
            <w:r>
              <w:rPr>
                <w:b w:val="0"/>
                <w:bCs/>
                <w:color w:val="FFFFFF" w:themeColor="background1"/>
              </w:rPr>
              <w:t>Photovoltaïque</w:t>
            </w:r>
          </w:p>
        </w:tc>
      </w:tr>
      <w:tr w:rsidR="00156807" w14:paraId="5632595D" w14:textId="77777777" w:rsidTr="00132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0EAB2FB4" w14:textId="77777777" w:rsidR="00156807" w:rsidRDefault="00156807" w:rsidP="0013257C">
            <w:pPr>
              <w:jc w:val="center"/>
            </w:pPr>
            <w:r>
              <w:t>Nombre d’installations</w:t>
            </w:r>
          </w:p>
        </w:tc>
        <w:tc>
          <w:tcPr>
            <w:tcW w:w="3067" w:type="dxa"/>
            <w:shd w:val="clear" w:color="auto" w:fill="FBE0DA" w:themeFill="accent2" w:themeFillTint="33"/>
          </w:tcPr>
          <w:p w14:paraId="5851B992" w14:textId="77777777" w:rsidR="00156807" w:rsidRDefault="00156807" w:rsidP="0013257C">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5249042F" w14:textId="77777777" w:rsidR="00156807" w:rsidRDefault="00156807" w:rsidP="0013257C">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156807" w14:paraId="6B3A17F3" w14:textId="77777777" w:rsidTr="001325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649B19E7" w14:textId="23DC3F89" w:rsidR="00156807" w:rsidRDefault="00156807" w:rsidP="0013257C">
            <w:pPr>
              <w:jc w:val="center"/>
            </w:pPr>
            <w:r>
              <w:t>0</w:t>
            </w:r>
          </w:p>
        </w:tc>
        <w:tc>
          <w:tcPr>
            <w:tcW w:w="3067" w:type="dxa"/>
          </w:tcPr>
          <w:p w14:paraId="2D3D99F2" w14:textId="3A18E1E9" w:rsidR="00156807" w:rsidRDefault="00156807" w:rsidP="0013257C">
            <w:pPr>
              <w:jc w:val="center"/>
              <w:cnfStyle w:val="000000010000" w:firstRow="0" w:lastRow="0" w:firstColumn="0" w:lastColumn="0" w:oddVBand="0" w:evenVBand="0" w:oddHBand="0" w:evenHBand="1" w:firstRowFirstColumn="0" w:firstRowLastColumn="0" w:lastRowFirstColumn="0" w:lastRowLastColumn="0"/>
            </w:pPr>
            <w:r>
              <w:t xml:space="preserve">0 </w:t>
            </w:r>
            <w:proofErr w:type="spellStart"/>
            <w:r>
              <w:t>MWc</w:t>
            </w:r>
            <w:proofErr w:type="spellEnd"/>
          </w:p>
        </w:tc>
        <w:tc>
          <w:tcPr>
            <w:tcW w:w="3068" w:type="dxa"/>
          </w:tcPr>
          <w:p w14:paraId="2F47A963" w14:textId="6AFB3D74" w:rsidR="00156807" w:rsidRDefault="00156807" w:rsidP="0013257C">
            <w:pPr>
              <w:jc w:val="center"/>
              <w:cnfStyle w:val="000000010000" w:firstRow="0" w:lastRow="0" w:firstColumn="0" w:lastColumn="0" w:oddVBand="0" w:evenVBand="0" w:oddHBand="0" w:evenHBand="1" w:firstRowFirstColumn="0" w:firstRowLastColumn="0" w:lastRowFirstColumn="0" w:lastRowLastColumn="0"/>
            </w:pPr>
            <w:r>
              <w:t>0 MWh</w:t>
            </w:r>
          </w:p>
        </w:tc>
      </w:tr>
    </w:tbl>
    <w:p w14:paraId="5C6ACC50" w14:textId="7C515FA3" w:rsidR="002708C8" w:rsidRDefault="002708C8">
      <w:pPr>
        <w:spacing w:after="200" w:line="276" w:lineRule="auto"/>
        <w:jc w:val="left"/>
        <w:rPr>
          <w:i/>
          <w:iCs/>
        </w:rPr>
      </w:pPr>
    </w:p>
    <w:p w14:paraId="49E623D1" w14:textId="7DD571FA" w:rsidR="00370AFE" w:rsidRDefault="00712E4F" w:rsidP="008C5126">
      <w:pPr>
        <w:pStyle w:val="Titre3"/>
        <w:ind w:left="2818"/>
      </w:pPr>
      <w:bookmarkStart w:id="58" w:name="_Toc129784727"/>
      <w:r>
        <w:t>La géothermie</w:t>
      </w:r>
      <w:bookmarkEnd w:id="58"/>
      <w:r>
        <w:t xml:space="preserve"> </w:t>
      </w:r>
    </w:p>
    <w:p w14:paraId="0534BDAB" w14:textId="14D8844B" w:rsidR="00712E4F" w:rsidRPr="00712E4F" w:rsidRDefault="00712E4F" w:rsidP="006C2C2E">
      <w:pPr>
        <w:rPr>
          <w:rStyle w:val="Rfrenceintense"/>
        </w:rPr>
      </w:pPr>
      <w:r w:rsidRPr="00712E4F">
        <w:rPr>
          <w:rStyle w:val="Rfrenceintense"/>
        </w:rPr>
        <w:t>Technologie</w:t>
      </w:r>
    </w:p>
    <w:p w14:paraId="3458BA18" w14:textId="26FB9963" w:rsidR="00712E4F" w:rsidRDefault="00712E4F" w:rsidP="00712E4F">
      <w:r>
        <w:t>L’intérêt de la géothermie est de capter la chaleur que stocke la Terre. Le système fonctionne en récupérant les calories disponibles dans le sol ou les nappes aquifères et en les transportant jusqu’à la surface. Pendant sa remontée, l’eau chaude perd de sa pression et se transforme en vapeur. La pression de cette vapeur fait tourner une turbine qui fait à son tour fonctionner un alternateur. Grâce à l'énergie fournie par la turbine, l'alternateur produit un courant électrique alternatif.</w:t>
      </w:r>
    </w:p>
    <w:p w14:paraId="4AE80515" w14:textId="13D7BA27" w:rsidR="00712E4F" w:rsidRDefault="00712E4F" w:rsidP="00712E4F">
      <w:r>
        <w:t>Pour pouvoir produire de l’électricité d’origine géothermique, il est nécessaire de disposer de réservoirs avec des températures supérieures à 120°C</w:t>
      </w:r>
      <w:r w:rsidR="00C43CB2">
        <w:t>.</w:t>
      </w:r>
    </w:p>
    <w:p w14:paraId="736564C4" w14:textId="7B9714ED" w:rsidR="00C43CB2" w:rsidRPr="00C43CB2" w:rsidRDefault="00C43CB2" w:rsidP="00712E4F">
      <w:pPr>
        <w:rPr>
          <w:rStyle w:val="Rfrenceintense"/>
        </w:rPr>
      </w:pPr>
      <w:r w:rsidRPr="00C43CB2">
        <w:rPr>
          <w:rStyle w:val="Rfrenceintense"/>
        </w:rPr>
        <w:t>Exemples d’instal</w:t>
      </w:r>
      <w:r w:rsidR="004220DC">
        <w:rPr>
          <w:rStyle w:val="Rfrenceintense"/>
        </w:rPr>
        <w:t>l</w:t>
      </w:r>
      <w:r w:rsidRPr="00C43CB2">
        <w:rPr>
          <w:rStyle w:val="Rfrenceintense"/>
        </w:rPr>
        <w:t>ation</w:t>
      </w:r>
      <w:r w:rsidR="003C274E">
        <w:rPr>
          <w:rStyle w:val="Rfrenceintense"/>
        </w:rPr>
        <w:t>s</w:t>
      </w:r>
    </w:p>
    <w:p w14:paraId="14F9D3F4" w14:textId="79C0BBE7" w:rsidR="00C43CB2" w:rsidRPr="00C43CB2" w:rsidRDefault="00C43CB2" w:rsidP="00C43CB2">
      <w:pPr>
        <w:rPr>
          <w:i/>
        </w:rPr>
      </w:pPr>
      <w:r w:rsidRPr="00C43CB2">
        <w:rPr>
          <w:i/>
        </w:rPr>
        <w:t>Source : EDF</w:t>
      </w:r>
    </w:p>
    <w:p w14:paraId="4F44EE56" w14:textId="77777777" w:rsidR="00C43CB2" w:rsidRDefault="00C43CB2" w:rsidP="00C43CB2">
      <w:r>
        <w:t>En 2016, la France dispose de deux centrales électriques utilisant la géothermie :</w:t>
      </w:r>
    </w:p>
    <w:p w14:paraId="22784A03" w14:textId="77777777" w:rsidR="00C43CB2" w:rsidRPr="006F057D" w:rsidRDefault="00C43CB2" w:rsidP="008A0F26">
      <w:pPr>
        <w:pStyle w:val="Paragraphedeliste"/>
        <w:numPr>
          <w:ilvl w:val="0"/>
          <w:numId w:val="8"/>
        </w:numPr>
        <w:spacing w:after="200" w:line="276" w:lineRule="auto"/>
      </w:pPr>
      <w:r w:rsidRPr="006F057D">
        <w:t xml:space="preserve">La centrale de Bouillante en Guadeloupe d’une puissance de 13,5 MW, a produit 84 </w:t>
      </w:r>
      <w:proofErr w:type="gramStart"/>
      <w:r w:rsidRPr="006F057D">
        <w:t>GWh</w:t>
      </w:r>
      <w:proofErr w:type="gramEnd"/>
      <w:r w:rsidRPr="006F057D">
        <w:t xml:space="preserve"> d’électricité en 2016 soit 4,7% de la production d’électricité sur l’île.</w:t>
      </w:r>
    </w:p>
    <w:p w14:paraId="3AF2CF8F" w14:textId="6DCCBD40" w:rsidR="00C43CB2" w:rsidRDefault="00C43CB2" w:rsidP="008A0F26">
      <w:pPr>
        <w:pStyle w:val="Paragraphedeliste"/>
        <w:numPr>
          <w:ilvl w:val="0"/>
          <w:numId w:val="8"/>
        </w:numPr>
        <w:spacing w:after="200" w:line="276" w:lineRule="auto"/>
      </w:pPr>
      <w:r w:rsidRPr="006F057D">
        <w:t xml:space="preserve">Le site de Soultz-Sous-Forêts (Alsace) produit de l’électricité par extraction de la chaleur des roches. Avec une puissance de 1,7 MW, le site est en mesure de produire 12 </w:t>
      </w:r>
      <w:proofErr w:type="gramStart"/>
      <w:r w:rsidRPr="006F057D">
        <w:t>GWh</w:t>
      </w:r>
      <w:proofErr w:type="gramEnd"/>
      <w:r w:rsidRPr="006F057D">
        <w:t xml:space="preserve"> par an soit l'équivalent de la consommation électrique de 2 500 logements.</w:t>
      </w:r>
    </w:p>
    <w:p w14:paraId="5CC1E0C3" w14:textId="37A320FF" w:rsidR="00712E4F" w:rsidRPr="00712E4F" w:rsidRDefault="00712E4F" w:rsidP="006C2C2E">
      <w:pPr>
        <w:rPr>
          <w:rStyle w:val="Rfrenceintense"/>
        </w:rPr>
      </w:pPr>
      <w:r w:rsidRPr="00712E4F">
        <w:rPr>
          <w:rStyle w:val="Rfrenceintense"/>
        </w:rPr>
        <w:t>Etat des lieux sur le territoire</w:t>
      </w:r>
    </w:p>
    <w:p w14:paraId="1A54EB3F" w14:textId="5E29A34E" w:rsidR="00712E4F" w:rsidRDefault="00712E4F" w:rsidP="00712E4F">
      <w:r>
        <w:t>Le ROSE Ile-de-France ne recense pas la production d’électricité par géothermie. A priori, le territoire ne possède pas d’installation géothermique produisant de l’électricité. Tout du moins celles-ci ne sont pas recensées.</w:t>
      </w:r>
      <w:r w:rsidR="00156807">
        <w:br/>
      </w:r>
    </w:p>
    <w:p w14:paraId="46D1A18F" w14:textId="690F27BD" w:rsidR="00712E4F" w:rsidRDefault="00712E4F" w:rsidP="00156807">
      <w:pPr>
        <w:pStyle w:val="Lgende"/>
        <w:keepNext/>
        <w:jc w:val="center"/>
      </w:pPr>
      <w:bookmarkStart w:id="59" w:name="_Toc126093063"/>
      <w:r>
        <w:lastRenderedPageBreak/>
        <w:t xml:space="preserve">Tableau 3 : Géothermie - Production d'électricité - </w:t>
      </w:r>
      <w:r>
        <w:rPr>
          <w:rFonts w:cs="Calibri"/>
        </w:rPr>
        <w:t>É</w:t>
      </w:r>
      <w:r>
        <w:t>tat des lieux</w:t>
      </w:r>
      <w:bookmarkEnd w:id="59"/>
    </w:p>
    <w:tbl>
      <w:tblPr>
        <w:tblStyle w:val="AKAtab1"/>
        <w:tblW w:w="0" w:type="auto"/>
        <w:tblLook w:val="04A0" w:firstRow="1" w:lastRow="0" w:firstColumn="1" w:lastColumn="0" w:noHBand="0" w:noVBand="1"/>
      </w:tblPr>
      <w:tblGrid>
        <w:gridCol w:w="3067"/>
        <w:gridCol w:w="3067"/>
        <w:gridCol w:w="3068"/>
      </w:tblGrid>
      <w:tr w:rsidR="00712E4F" w14:paraId="0A8C0BD6" w14:textId="77777777" w:rsidTr="00712E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732FC456" w14:textId="77777777" w:rsidR="00712E4F" w:rsidRPr="006F3EE1" w:rsidRDefault="00712E4F" w:rsidP="00231BC1">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É</w:t>
            </w:r>
            <w:r>
              <w:rPr>
                <w:b w:val="0"/>
                <w:bCs/>
                <w:color w:val="FFFFFF" w:themeColor="background1"/>
              </w:rPr>
              <w:t>lectricité issue de la géothermie</w:t>
            </w:r>
          </w:p>
        </w:tc>
      </w:tr>
      <w:tr w:rsidR="00712E4F" w14:paraId="6DFFEAA5" w14:textId="77777777" w:rsidTr="00C43C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39AEB622" w14:textId="77777777" w:rsidR="00712E4F" w:rsidRDefault="00712E4F" w:rsidP="00231BC1">
            <w:pPr>
              <w:jc w:val="center"/>
            </w:pPr>
            <w:r>
              <w:t>Nombre d’installations</w:t>
            </w:r>
          </w:p>
        </w:tc>
        <w:tc>
          <w:tcPr>
            <w:tcW w:w="3067" w:type="dxa"/>
            <w:shd w:val="clear" w:color="auto" w:fill="FBE0DA" w:themeFill="accent2" w:themeFillTint="33"/>
          </w:tcPr>
          <w:p w14:paraId="7E8E0253" w14:textId="77777777" w:rsidR="00712E4F" w:rsidRDefault="00712E4F"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28FC3166" w14:textId="77777777" w:rsidR="00712E4F" w:rsidRDefault="00712E4F"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712E4F" w14:paraId="7EF167F9" w14:textId="77777777" w:rsidTr="00C43C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0DD9BEEB" w14:textId="77777777" w:rsidR="00712E4F" w:rsidRDefault="00712E4F" w:rsidP="00231BC1">
            <w:pPr>
              <w:jc w:val="center"/>
            </w:pPr>
            <w:r>
              <w:t>0</w:t>
            </w:r>
          </w:p>
        </w:tc>
        <w:tc>
          <w:tcPr>
            <w:tcW w:w="3067" w:type="dxa"/>
          </w:tcPr>
          <w:p w14:paraId="757E0453" w14:textId="77777777" w:rsidR="00712E4F" w:rsidRDefault="00712E4F" w:rsidP="00231BC1">
            <w:pPr>
              <w:jc w:val="center"/>
              <w:cnfStyle w:val="000000010000" w:firstRow="0" w:lastRow="0" w:firstColumn="0" w:lastColumn="0" w:oddVBand="0" w:evenVBand="0" w:oddHBand="0" w:evenHBand="1" w:firstRowFirstColumn="0" w:firstRowLastColumn="0" w:lastRowFirstColumn="0" w:lastRowLastColumn="0"/>
            </w:pPr>
            <w:r>
              <w:t>0 MW</w:t>
            </w:r>
          </w:p>
        </w:tc>
        <w:tc>
          <w:tcPr>
            <w:tcW w:w="3068" w:type="dxa"/>
          </w:tcPr>
          <w:p w14:paraId="7E78E4E0" w14:textId="77777777" w:rsidR="00712E4F" w:rsidRDefault="00712E4F" w:rsidP="00231BC1">
            <w:pPr>
              <w:jc w:val="center"/>
              <w:cnfStyle w:val="000000010000" w:firstRow="0" w:lastRow="0" w:firstColumn="0" w:lastColumn="0" w:oddVBand="0" w:evenVBand="0" w:oddHBand="0" w:evenHBand="1" w:firstRowFirstColumn="0" w:firstRowLastColumn="0" w:lastRowFirstColumn="0" w:lastRowLastColumn="0"/>
            </w:pPr>
            <w:r>
              <w:t>0 MWh</w:t>
            </w:r>
          </w:p>
        </w:tc>
      </w:tr>
    </w:tbl>
    <w:p w14:paraId="76FCDFFB" w14:textId="77777777" w:rsidR="00156807" w:rsidRDefault="00156807" w:rsidP="006C2C2E">
      <w:pPr>
        <w:rPr>
          <w:rFonts w:eastAsiaTheme="majorEastAsia"/>
        </w:rPr>
      </w:pPr>
    </w:p>
    <w:p w14:paraId="38690790" w14:textId="203102DA" w:rsidR="00C43CB2" w:rsidRDefault="00C43CB2" w:rsidP="002708C8">
      <w:pPr>
        <w:pStyle w:val="Titre3"/>
        <w:ind w:left="2818"/>
      </w:pPr>
      <w:bookmarkStart w:id="60" w:name="_Toc129784728"/>
      <w:r>
        <w:t>Hydroélectricité</w:t>
      </w:r>
      <w:bookmarkEnd w:id="60"/>
      <w:r>
        <w:t xml:space="preserve"> </w:t>
      </w:r>
    </w:p>
    <w:p w14:paraId="3E7DE7FB" w14:textId="30D754A3" w:rsidR="00E549D7" w:rsidRPr="00E549D7" w:rsidRDefault="00E549D7" w:rsidP="00C43CB2">
      <w:pPr>
        <w:rPr>
          <w:b/>
          <w:bCs/>
          <w:smallCaps/>
          <w:color w:val="EC694A" w:themeColor="accent2"/>
          <w:spacing w:val="5"/>
          <w:u w:val="single"/>
        </w:rPr>
      </w:pPr>
      <w:r w:rsidRPr="00712E4F">
        <w:rPr>
          <w:rStyle w:val="Rfrenceintense"/>
        </w:rPr>
        <w:t>Technologie</w:t>
      </w:r>
    </w:p>
    <w:p w14:paraId="2B5EDB14" w14:textId="0FA9B243" w:rsidR="00C43CB2" w:rsidRDefault="00C43CB2" w:rsidP="00C43CB2">
      <w:r>
        <w:t>La production d’électricité par énergie hydraulique se fait à partir de l’énergie cinétique et potentielle de l’eau. La conversion est effectuée au niveau des turbines, et cette énergie mécanique est ensuite transformée en électricité par le biais d’alternateurs.</w:t>
      </w:r>
    </w:p>
    <w:p w14:paraId="71075419" w14:textId="77777777" w:rsidR="00C43CB2" w:rsidRDefault="00C43CB2" w:rsidP="00C43CB2">
      <w:r>
        <w:t>On distingue trois types d’installations :</w:t>
      </w:r>
    </w:p>
    <w:p w14:paraId="41322803" w14:textId="77777777" w:rsidR="00C43CB2" w:rsidRPr="00F16BFD" w:rsidRDefault="00C43CB2" w:rsidP="008A0F26">
      <w:pPr>
        <w:pStyle w:val="Paragraphedeliste"/>
        <w:numPr>
          <w:ilvl w:val="0"/>
          <w:numId w:val="8"/>
        </w:numPr>
        <w:spacing w:after="200" w:line="276" w:lineRule="auto"/>
      </w:pPr>
      <w:r w:rsidRPr="00F16BFD">
        <w:t>Les centrales au fil de l’eau, utilisant le débit continu des cours d’eau ;</w:t>
      </w:r>
    </w:p>
    <w:p w14:paraId="3C35C857" w14:textId="77777777" w:rsidR="00C43CB2" w:rsidRPr="00F16BFD" w:rsidRDefault="00C43CB2" w:rsidP="008A0F26">
      <w:pPr>
        <w:pStyle w:val="Paragraphedeliste"/>
        <w:numPr>
          <w:ilvl w:val="0"/>
          <w:numId w:val="8"/>
        </w:numPr>
        <w:spacing w:after="200" w:line="276" w:lineRule="auto"/>
      </w:pPr>
      <w:r w:rsidRPr="00F16BFD">
        <w:t>Les centrales réservoir (ou centrales de haute chute), stockant l’eau dans un réservoir grâce à des barrages de retenue ;</w:t>
      </w:r>
    </w:p>
    <w:p w14:paraId="3CDD9CC5" w14:textId="61476EA4" w:rsidR="00E549D7" w:rsidRPr="00E549D7" w:rsidRDefault="00C43CB2" w:rsidP="008A0F26">
      <w:pPr>
        <w:pStyle w:val="Paragraphedeliste"/>
        <w:numPr>
          <w:ilvl w:val="0"/>
          <w:numId w:val="8"/>
        </w:numPr>
        <w:spacing w:after="200" w:line="276" w:lineRule="auto"/>
        <w:rPr>
          <w:rStyle w:val="lev"/>
          <w:rFonts w:ascii="Calibri" w:hAnsi="Calibri" w:cs="Times New Roman"/>
          <w:b w:val="0"/>
          <w:bCs w:val="0"/>
        </w:rPr>
      </w:pPr>
      <w:r w:rsidRPr="00F16BFD">
        <w:t>Les stations de transfert d’énergie par pompage (STEP), exploitant deux retenues d’eau à des niveaux différents.</w:t>
      </w:r>
    </w:p>
    <w:p w14:paraId="65897314" w14:textId="77777777" w:rsidR="00156807" w:rsidRDefault="00156807" w:rsidP="00E549D7">
      <w:pPr>
        <w:rPr>
          <w:rStyle w:val="Rfrenceintense"/>
        </w:rPr>
      </w:pPr>
    </w:p>
    <w:p w14:paraId="3053F6D4" w14:textId="39F173F1" w:rsidR="00C43CB2" w:rsidRPr="00C43CB2" w:rsidRDefault="0090476F" w:rsidP="00C43CB2">
      <w:pPr>
        <w:rPr>
          <w:b/>
          <w:bCs/>
          <w:smallCaps/>
          <w:color w:val="EC694A" w:themeColor="accent2"/>
          <w:spacing w:val="5"/>
          <w:u w:val="single"/>
        </w:rPr>
      </w:pPr>
      <w:r>
        <w:rPr>
          <w:rStyle w:val="Rfrenceintense"/>
        </w:rPr>
        <w:br/>
      </w:r>
      <w:r w:rsidR="00C43CB2" w:rsidRPr="00712E4F">
        <w:rPr>
          <w:rStyle w:val="Rfrenceintense"/>
        </w:rPr>
        <w:t>Etat des lieux sur le territoire</w:t>
      </w:r>
    </w:p>
    <w:p w14:paraId="64A19EBD" w14:textId="7E0B538C" w:rsidR="00C43CB2" w:rsidRPr="00C43CB2" w:rsidRDefault="00C43CB2" w:rsidP="00C43CB2">
      <w:pPr>
        <w:rPr>
          <w:i/>
        </w:rPr>
      </w:pPr>
      <w:r w:rsidRPr="00C43CB2">
        <w:rPr>
          <w:i/>
        </w:rPr>
        <w:t>Source : ENERGIF, ROSE Ile-de-</w:t>
      </w:r>
      <w:r w:rsidR="004220DC">
        <w:rPr>
          <w:i/>
        </w:rPr>
        <w:t>France, 2020</w:t>
      </w:r>
    </w:p>
    <w:p w14:paraId="2893B3DC" w14:textId="18F21611" w:rsidR="00C43CB2" w:rsidRDefault="00C43CB2" w:rsidP="00C43CB2">
      <w:r>
        <w:t>Selon les données ENERGIF de l’observatoire (ROSE), le territoire ne possède pas d’installation d’hydroélectricité.</w:t>
      </w:r>
      <w:r w:rsidR="00D86167">
        <w:br/>
      </w:r>
    </w:p>
    <w:p w14:paraId="4567C8CD" w14:textId="2CA38A01" w:rsidR="00C43CB2" w:rsidRDefault="00C43CB2" w:rsidP="00D86167">
      <w:pPr>
        <w:pStyle w:val="Lgende"/>
        <w:keepNext/>
        <w:jc w:val="center"/>
      </w:pPr>
      <w:bookmarkStart w:id="61" w:name="_Toc126093064"/>
      <w:r>
        <w:t xml:space="preserve">Tableau 4 : Hydroélectricité - </w:t>
      </w:r>
      <w:r>
        <w:rPr>
          <w:rFonts w:cs="Calibri"/>
        </w:rPr>
        <w:t>É</w:t>
      </w:r>
      <w:r>
        <w:t>tat des lieux</w:t>
      </w:r>
      <w:bookmarkEnd w:id="61"/>
    </w:p>
    <w:tbl>
      <w:tblPr>
        <w:tblStyle w:val="AKAtab1"/>
        <w:tblW w:w="0" w:type="auto"/>
        <w:tblLook w:val="04A0" w:firstRow="1" w:lastRow="0" w:firstColumn="1" w:lastColumn="0" w:noHBand="0" w:noVBand="1"/>
      </w:tblPr>
      <w:tblGrid>
        <w:gridCol w:w="3067"/>
        <w:gridCol w:w="3067"/>
        <w:gridCol w:w="3068"/>
      </w:tblGrid>
      <w:tr w:rsidR="00C43CB2" w14:paraId="474C9A45" w14:textId="77777777" w:rsidTr="00C43C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398F3E0F" w14:textId="77777777" w:rsidR="00C43CB2" w:rsidRPr="006F3EE1" w:rsidRDefault="00C43CB2" w:rsidP="00231BC1">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É</w:t>
            </w:r>
            <w:r>
              <w:rPr>
                <w:b w:val="0"/>
                <w:bCs/>
                <w:color w:val="FFFFFF" w:themeColor="background1"/>
              </w:rPr>
              <w:t>lectricité issue de l’hydroélectricité</w:t>
            </w:r>
          </w:p>
        </w:tc>
      </w:tr>
      <w:tr w:rsidR="00C43CB2" w14:paraId="6C20C263" w14:textId="77777777" w:rsidTr="00C43C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60C71438" w14:textId="77777777" w:rsidR="00C43CB2" w:rsidRDefault="00C43CB2" w:rsidP="00231BC1">
            <w:pPr>
              <w:jc w:val="center"/>
            </w:pPr>
            <w:r>
              <w:t>Nombre d’installations</w:t>
            </w:r>
          </w:p>
        </w:tc>
        <w:tc>
          <w:tcPr>
            <w:tcW w:w="3067" w:type="dxa"/>
            <w:shd w:val="clear" w:color="auto" w:fill="FBE0DA" w:themeFill="accent2" w:themeFillTint="33"/>
          </w:tcPr>
          <w:p w14:paraId="505F894D" w14:textId="77777777" w:rsidR="00C43CB2" w:rsidRDefault="00C43CB2"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7C232A75" w14:textId="77777777" w:rsidR="00C43CB2" w:rsidRDefault="00C43CB2"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C43CB2" w14:paraId="5051A766" w14:textId="77777777" w:rsidTr="00C43C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3FCE41C8" w14:textId="77777777" w:rsidR="00C43CB2" w:rsidRDefault="00C43CB2" w:rsidP="00231BC1">
            <w:pPr>
              <w:jc w:val="center"/>
            </w:pPr>
            <w:r>
              <w:t>0</w:t>
            </w:r>
          </w:p>
        </w:tc>
        <w:tc>
          <w:tcPr>
            <w:tcW w:w="3067" w:type="dxa"/>
          </w:tcPr>
          <w:p w14:paraId="66BE6C32" w14:textId="77777777" w:rsidR="00C43CB2" w:rsidRDefault="00C43CB2" w:rsidP="00231BC1">
            <w:pPr>
              <w:jc w:val="center"/>
              <w:cnfStyle w:val="000000010000" w:firstRow="0" w:lastRow="0" w:firstColumn="0" w:lastColumn="0" w:oddVBand="0" w:evenVBand="0" w:oddHBand="0" w:evenHBand="1" w:firstRowFirstColumn="0" w:firstRowLastColumn="0" w:lastRowFirstColumn="0" w:lastRowLastColumn="0"/>
            </w:pPr>
            <w:r>
              <w:t>0 MW</w:t>
            </w:r>
          </w:p>
        </w:tc>
        <w:tc>
          <w:tcPr>
            <w:tcW w:w="3068" w:type="dxa"/>
          </w:tcPr>
          <w:p w14:paraId="3249B280" w14:textId="77777777" w:rsidR="00C43CB2" w:rsidRDefault="00C43CB2" w:rsidP="00231BC1">
            <w:pPr>
              <w:jc w:val="center"/>
              <w:cnfStyle w:val="000000010000" w:firstRow="0" w:lastRow="0" w:firstColumn="0" w:lastColumn="0" w:oddVBand="0" w:evenVBand="0" w:oddHBand="0" w:evenHBand="1" w:firstRowFirstColumn="0" w:firstRowLastColumn="0" w:lastRowFirstColumn="0" w:lastRowLastColumn="0"/>
            </w:pPr>
            <w:r>
              <w:t>0 MWh</w:t>
            </w:r>
          </w:p>
        </w:tc>
      </w:tr>
    </w:tbl>
    <w:p w14:paraId="3D803467" w14:textId="7EF9BA57" w:rsidR="00C43CB2" w:rsidRDefault="00C43CB2" w:rsidP="006C2C2E">
      <w:pPr>
        <w:rPr>
          <w:rFonts w:eastAsiaTheme="majorEastAsia"/>
        </w:rPr>
      </w:pPr>
    </w:p>
    <w:p w14:paraId="4D6E9AFC" w14:textId="77777777" w:rsidR="0090476F" w:rsidRDefault="0090476F" w:rsidP="006C2C2E">
      <w:pPr>
        <w:rPr>
          <w:rFonts w:eastAsiaTheme="majorEastAsia"/>
        </w:rPr>
      </w:pPr>
    </w:p>
    <w:p w14:paraId="15CA6BF8" w14:textId="77777777" w:rsidR="008649EB" w:rsidRDefault="008649EB">
      <w:pPr>
        <w:spacing w:after="200" w:line="276" w:lineRule="auto"/>
        <w:jc w:val="left"/>
        <w:rPr>
          <w:rFonts w:asciiTheme="majorHAnsi" w:eastAsiaTheme="majorEastAsia" w:hAnsiTheme="majorHAnsi" w:cstheme="majorBidi"/>
          <w:bCs/>
          <w:color w:val="A83B22"/>
          <w:sz w:val="26"/>
          <w:szCs w:val="26"/>
        </w:rPr>
      </w:pPr>
      <w:r>
        <w:br w:type="page"/>
      </w:r>
    </w:p>
    <w:p w14:paraId="0D1713EE" w14:textId="58CEEF97" w:rsidR="00E549D7" w:rsidRDefault="00E549D7" w:rsidP="008A0F26">
      <w:pPr>
        <w:pStyle w:val="Titre2"/>
        <w:ind w:left="1996" w:hanging="578"/>
      </w:pPr>
      <w:bookmarkStart w:id="62" w:name="_Toc129784729"/>
      <w:r>
        <w:lastRenderedPageBreak/>
        <w:t>Production de chaleur renouvelable</w:t>
      </w:r>
      <w:bookmarkEnd w:id="62"/>
    </w:p>
    <w:p w14:paraId="49643936" w14:textId="68A59C9E" w:rsidR="00E549D7" w:rsidRDefault="00E549D7" w:rsidP="002708C8">
      <w:pPr>
        <w:pStyle w:val="Titre3"/>
        <w:ind w:left="2818"/>
      </w:pPr>
      <w:bookmarkStart w:id="63" w:name="_Toc129784730"/>
      <w:r>
        <w:t>Solaire thermique</w:t>
      </w:r>
      <w:bookmarkEnd w:id="63"/>
      <w:r>
        <w:t xml:space="preserve"> </w:t>
      </w:r>
    </w:p>
    <w:p w14:paraId="1FA6C4A8" w14:textId="501C1EFA" w:rsidR="00E549D7" w:rsidRPr="00E549D7" w:rsidRDefault="00E549D7" w:rsidP="006C2C2E">
      <w:pPr>
        <w:rPr>
          <w:b/>
          <w:bCs/>
          <w:smallCaps/>
          <w:color w:val="EC694A" w:themeColor="accent2"/>
          <w:spacing w:val="5"/>
          <w:u w:val="single"/>
        </w:rPr>
      </w:pPr>
      <w:r w:rsidRPr="00712E4F">
        <w:rPr>
          <w:rStyle w:val="Rfrenceintense"/>
        </w:rPr>
        <w:t>Technologie</w:t>
      </w:r>
    </w:p>
    <w:p w14:paraId="71278D2C" w14:textId="495DBDFE" w:rsidR="00E549D7" w:rsidRDefault="00E549D7" w:rsidP="00E549D7">
      <w:r>
        <w:t>L’énergie solaire thermique produit de la chaleur à partir des rayons du soleil (à la différence du photovoltaïque qui produit de l’électricité). Une plaque et des tubes métalliques noirs constituent l’absorbeur (corps noir). Ils reçoivent le rayonnement solaire et s’échauffent. La chaleur est restituée grâce à un échangeur thermique (le liquide circulant dans le circuit chauffé cède ses calories solaires à l’eau sanitaire par exemple).</w:t>
      </w:r>
    </w:p>
    <w:p w14:paraId="155FC3ED" w14:textId="77777777" w:rsidR="00E549D7" w:rsidRDefault="00E549D7" w:rsidP="00E549D7">
      <w:r>
        <w:t>Cette technologie est principalement utilisée pour produire de l’eau chaude sanitaire.</w:t>
      </w:r>
    </w:p>
    <w:p w14:paraId="01892069" w14:textId="273C874C" w:rsidR="00E549D7" w:rsidRPr="00C43CB2" w:rsidRDefault="0090476F" w:rsidP="00E549D7">
      <w:pPr>
        <w:rPr>
          <w:b/>
          <w:bCs/>
          <w:smallCaps/>
          <w:color w:val="EC694A" w:themeColor="accent2"/>
          <w:spacing w:val="5"/>
          <w:u w:val="single"/>
        </w:rPr>
      </w:pPr>
      <w:r>
        <w:rPr>
          <w:rStyle w:val="Rfrenceintense"/>
        </w:rPr>
        <w:br/>
      </w:r>
      <w:r w:rsidR="00E549D7" w:rsidRPr="00712E4F">
        <w:rPr>
          <w:rStyle w:val="Rfrenceintense"/>
        </w:rPr>
        <w:t>Etat des lieux sur le territoire</w:t>
      </w:r>
    </w:p>
    <w:p w14:paraId="175E032B" w14:textId="59F5035C" w:rsidR="00E549D7" w:rsidRPr="00E549D7" w:rsidRDefault="00E549D7" w:rsidP="00E549D7">
      <w:pPr>
        <w:rPr>
          <w:i/>
        </w:rPr>
      </w:pPr>
      <w:r w:rsidRPr="00E549D7">
        <w:rPr>
          <w:i/>
        </w:rPr>
        <w:t>Source : ENERGIF, ROSE Ile-de-</w:t>
      </w:r>
      <w:r w:rsidR="004220DC">
        <w:rPr>
          <w:i/>
        </w:rPr>
        <w:t>France, 2020</w:t>
      </w:r>
    </w:p>
    <w:p w14:paraId="461D21AB" w14:textId="60E72B4C" w:rsidR="00E549D7" w:rsidRDefault="00E549D7" w:rsidP="00E549D7">
      <w:r>
        <w:t>Selon les données du ROSE, le territoire ne possède pas d’installation solaire thermique recensée.</w:t>
      </w:r>
      <w:r w:rsidR="00D86167">
        <w:tab/>
      </w:r>
      <w:r w:rsidR="00EA1E3D">
        <w:br/>
      </w:r>
    </w:p>
    <w:p w14:paraId="66A179A8" w14:textId="6F1D2552" w:rsidR="00E549D7" w:rsidRDefault="00E549D7" w:rsidP="0090476F">
      <w:pPr>
        <w:pStyle w:val="Lgende"/>
        <w:keepNext/>
        <w:jc w:val="center"/>
      </w:pPr>
      <w:bookmarkStart w:id="64" w:name="_Toc126093065"/>
      <w:r>
        <w:t xml:space="preserve">Tableau 5 : Solaire thermique - </w:t>
      </w:r>
      <w:r>
        <w:rPr>
          <w:rFonts w:cs="Calibri"/>
        </w:rPr>
        <w:t>É</w:t>
      </w:r>
      <w:r>
        <w:t>tat des lieux</w:t>
      </w:r>
      <w:bookmarkEnd w:id="64"/>
    </w:p>
    <w:tbl>
      <w:tblPr>
        <w:tblStyle w:val="AKAtab1"/>
        <w:tblW w:w="0" w:type="auto"/>
        <w:tblLook w:val="04A0" w:firstRow="1" w:lastRow="0" w:firstColumn="1" w:lastColumn="0" w:noHBand="0" w:noVBand="1"/>
      </w:tblPr>
      <w:tblGrid>
        <w:gridCol w:w="3067"/>
        <w:gridCol w:w="3067"/>
        <w:gridCol w:w="3068"/>
      </w:tblGrid>
      <w:tr w:rsidR="00E549D7" w14:paraId="30DF7616" w14:textId="77777777" w:rsidTr="00E549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5BC50862" w14:textId="77777777" w:rsidR="00E549D7" w:rsidRPr="006F3EE1" w:rsidRDefault="00E549D7" w:rsidP="00231BC1">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Solaire thermique</w:t>
            </w:r>
          </w:p>
        </w:tc>
      </w:tr>
      <w:tr w:rsidR="00E549D7" w14:paraId="06F88BD5" w14:textId="77777777" w:rsidTr="00E549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07C205B5" w14:textId="77777777" w:rsidR="00E549D7" w:rsidRDefault="00E549D7" w:rsidP="00231BC1">
            <w:pPr>
              <w:jc w:val="center"/>
            </w:pPr>
            <w:r>
              <w:t>Nombre d’installations</w:t>
            </w:r>
          </w:p>
        </w:tc>
        <w:tc>
          <w:tcPr>
            <w:tcW w:w="3067" w:type="dxa"/>
            <w:shd w:val="clear" w:color="auto" w:fill="FBE0DA" w:themeFill="accent2" w:themeFillTint="33"/>
          </w:tcPr>
          <w:p w14:paraId="3961B0D1" w14:textId="77777777" w:rsidR="00E549D7" w:rsidRDefault="00E549D7"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73C92760" w14:textId="77777777" w:rsidR="00E549D7" w:rsidRDefault="00E549D7"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E549D7" w14:paraId="3B5D6C29" w14:textId="77777777" w:rsidTr="00E549D7">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08192AE5" w14:textId="77777777" w:rsidR="00E549D7" w:rsidRDefault="00E549D7" w:rsidP="00231BC1">
            <w:pPr>
              <w:jc w:val="center"/>
            </w:pPr>
            <w:r>
              <w:t>0</w:t>
            </w:r>
          </w:p>
        </w:tc>
        <w:tc>
          <w:tcPr>
            <w:tcW w:w="3067" w:type="dxa"/>
          </w:tcPr>
          <w:p w14:paraId="488F55BA" w14:textId="77777777" w:rsidR="00E549D7" w:rsidRDefault="00E549D7" w:rsidP="00231BC1">
            <w:pPr>
              <w:jc w:val="center"/>
              <w:cnfStyle w:val="000000010000" w:firstRow="0" w:lastRow="0" w:firstColumn="0" w:lastColumn="0" w:oddVBand="0" w:evenVBand="0" w:oddHBand="0" w:evenHBand="1" w:firstRowFirstColumn="0" w:firstRowLastColumn="0" w:lastRowFirstColumn="0" w:lastRowLastColumn="0"/>
            </w:pPr>
            <w:r>
              <w:t>0 MW</w:t>
            </w:r>
          </w:p>
        </w:tc>
        <w:tc>
          <w:tcPr>
            <w:tcW w:w="3068" w:type="dxa"/>
          </w:tcPr>
          <w:p w14:paraId="3DD8A5CD" w14:textId="77777777" w:rsidR="00E549D7" w:rsidRDefault="00E549D7" w:rsidP="00231BC1">
            <w:pPr>
              <w:jc w:val="center"/>
              <w:cnfStyle w:val="000000010000" w:firstRow="0" w:lastRow="0" w:firstColumn="0" w:lastColumn="0" w:oddVBand="0" w:evenVBand="0" w:oddHBand="0" w:evenHBand="1" w:firstRowFirstColumn="0" w:firstRowLastColumn="0" w:lastRowFirstColumn="0" w:lastRowLastColumn="0"/>
            </w:pPr>
            <w:r>
              <w:t>0 MWh</w:t>
            </w:r>
          </w:p>
        </w:tc>
      </w:tr>
    </w:tbl>
    <w:p w14:paraId="31782163" w14:textId="38C5F83C" w:rsidR="00E549D7" w:rsidRDefault="00E549D7" w:rsidP="006C2C2E">
      <w:pPr>
        <w:rPr>
          <w:rFonts w:eastAsiaTheme="majorEastAsia"/>
        </w:rPr>
      </w:pPr>
    </w:p>
    <w:p w14:paraId="44003EC4" w14:textId="39B72276" w:rsidR="00E549D7" w:rsidRDefault="00E549D7" w:rsidP="008649EB">
      <w:pPr>
        <w:pStyle w:val="Titre3"/>
        <w:ind w:left="2818"/>
      </w:pPr>
      <w:bookmarkStart w:id="65" w:name="_Toc129784731"/>
      <w:r>
        <w:t>Géotherm</w:t>
      </w:r>
      <w:r w:rsidR="000F57CC" w:rsidRPr="000F57CC">
        <w:t>ie</w:t>
      </w:r>
      <w:bookmarkEnd w:id="65"/>
      <w:r>
        <w:t xml:space="preserve"> </w:t>
      </w:r>
    </w:p>
    <w:p w14:paraId="762DCD8A" w14:textId="672363DD" w:rsidR="00E549D7" w:rsidRPr="00E549D7" w:rsidRDefault="00E549D7" w:rsidP="006C2C2E">
      <w:pPr>
        <w:rPr>
          <w:b/>
          <w:bCs/>
          <w:smallCaps/>
          <w:color w:val="EC694A" w:themeColor="accent2"/>
          <w:spacing w:val="5"/>
          <w:u w:val="single"/>
        </w:rPr>
      </w:pPr>
      <w:r w:rsidRPr="00712E4F">
        <w:rPr>
          <w:rStyle w:val="Rfrenceintense"/>
        </w:rPr>
        <w:t>Technologie</w:t>
      </w:r>
    </w:p>
    <w:p w14:paraId="7DD04AC2" w14:textId="2AEA3631" w:rsidR="00E549D7" w:rsidRDefault="00E549D7" w:rsidP="00E549D7">
      <w:r>
        <w:t>L’intérêt de la géothermie est de capter la chaleur que stocke la Terre. Le système fonctionne en récupérant les calories disponibles dans le sol ou les nappes aquifères et en les transportant jusqu’à la consommation de chaleur.</w:t>
      </w:r>
    </w:p>
    <w:p w14:paraId="7A39AC22" w14:textId="4A6C89E1" w:rsidR="00E549D7" w:rsidRDefault="00E549D7" w:rsidP="00E549D7">
      <w:r>
        <w:t>La production d’énergie géothermique en France comprend plusieurs types de production : assistée par pompe à chaleur (« très basse énergie », ou géothermie de surface), pour un usage direct (« basse énergie » et « haute énergie », ou géothermie profonde).</w:t>
      </w:r>
    </w:p>
    <w:p w14:paraId="118D7D1B" w14:textId="77777777" w:rsidR="00E549D7" w:rsidRDefault="00E549D7" w:rsidP="00E549D7">
      <w:r>
        <w:t xml:space="preserve">Plusieurs systèmes peuvent être envisagés : </w:t>
      </w:r>
    </w:p>
    <w:p w14:paraId="7C0525E2" w14:textId="77777777" w:rsidR="00E549D7" w:rsidRPr="00455102" w:rsidRDefault="00E549D7" w:rsidP="008A0F26">
      <w:pPr>
        <w:pStyle w:val="Paragraphedeliste"/>
        <w:numPr>
          <w:ilvl w:val="0"/>
          <w:numId w:val="8"/>
        </w:numPr>
        <w:spacing w:after="200" w:line="276" w:lineRule="auto"/>
      </w:pPr>
      <w:r w:rsidRPr="00455102">
        <w:t xml:space="preserve">Sondes horizontales : réseau de tuyauterie enterré à faible profondeur (environ 1m) dans lequel circule un fluide caloporteur (eau glycolée généralement), adapté pour des maisons </w:t>
      </w:r>
    </w:p>
    <w:p w14:paraId="6C8B4E54" w14:textId="77777777" w:rsidR="00E549D7" w:rsidRPr="00455102" w:rsidRDefault="00E549D7" w:rsidP="008A0F26">
      <w:pPr>
        <w:pStyle w:val="Paragraphedeliste"/>
        <w:numPr>
          <w:ilvl w:val="0"/>
          <w:numId w:val="8"/>
        </w:numPr>
        <w:spacing w:after="200" w:line="276" w:lineRule="auto"/>
      </w:pPr>
      <w:r w:rsidRPr="00455102">
        <w:t xml:space="preserve">Sondes verticales : un forage permet de placer une sonde en U à la verticale dans le sol. Un fluide caloporteur circule dans cette sonde et se réchauffe au contact du sol. La profondeur est généralement limitée à 200m (limite de demande d’autorisation selon le code minier) </w:t>
      </w:r>
    </w:p>
    <w:p w14:paraId="3748D6D7" w14:textId="77777777" w:rsidR="00E549D7" w:rsidRPr="00455102" w:rsidRDefault="00E549D7" w:rsidP="008A0F26">
      <w:pPr>
        <w:pStyle w:val="Paragraphedeliste"/>
        <w:numPr>
          <w:ilvl w:val="0"/>
          <w:numId w:val="8"/>
        </w:numPr>
        <w:spacing w:after="200" w:line="276" w:lineRule="auto"/>
      </w:pPr>
      <w:r w:rsidRPr="00455102">
        <w:t>Sondes sur nappes : l’eau d’une nappe souterraine est pompée par l’intermédiaire d’un ou de plusieurs forages pour l’acheminer jusqu’à une pompe à chaleur (géothermie très basse énergie) ou un réseau de chaleur (géothermie basse énergie) afin d’en prélever les calories, avant de la réinjecter dans l’aquifère par l’intermédiaire d’un second ou de plusieurs forages. En géothermie « basse énergie », l’eau des nappes souterraines atteint entre 30°C et 100°C. En géothermie « très basse énergie » l’eau des nappes est souvent à des températures proches de 10°C.</w:t>
      </w:r>
    </w:p>
    <w:p w14:paraId="0066C65C" w14:textId="77777777" w:rsidR="00E549D7" w:rsidRPr="00F16BFD" w:rsidRDefault="00E549D7" w:rsidP="008A0F26">
      <w:pPr>
        <w:pStyle w:val="Paragraphedeliste"/>
        <w:numPr>
          <w:ilvl w:val="0"/>
          <w:numId w:val="8"/>
        </w:numPr>
        <w:spacing w:after="200" w:line="276" w:lineRule="auto"/>
      </w:pPr>
      <w:r w:rsidRPr="00455102">
        <w:t>Pieux géothermiques : certains bâtiments sont construits, pour des raisons de stabilité des sols, sur des pieux en béton. Il est possible d’inclure des sondes géothermiques dans ces pieux, limitant ainsi les coûts d’investissements.</w:t>
      </w:r>
    </w:p>
    <w:p w14:paraId="4B2305DC" w14:textId="2189BC52" w:rsidR="00E549D7" w:rsidRPr="00E549D7" w:rsidRDefault="00E549D7" w:rsidP="00E549D7">
      <w:pPr>
        <w:rPr>
          <w:b/>
          <w:bCs/>
          <w:smallCaps/>
          <w:color w:val="EC694A" w:themeColor="accent2"/>
          <w:spacing w:val="5"/>
          <w:u w:val="single"/>
        </w:rPr>
      </w:pPr>
      <w:r w:rsidRPr="00712E4F">
        <w:rPr>
          <w:rStyle w:val="Rfrenceintense"/>
        </w:rPr>
        <w:lastRenderedPageBreak/>
        <w:t>Etat des lieux sur le territ</w:t>
      </w:r>
      <w:r w:rsidR="000F57CC" w:rsidRPr="000F57CC">
        <w:rPr>
          <w:b/>
          <w:bCs/>
          <w:smallCaps/>
          <w:color w:val="EC694A" w:themeColor="accent2"/>
          <w:spacing w:val="5"/>
          <w:u w:val="single"/>
        </w:rPr>
        <w:t>oire</w:t>
      </w:r>
      <w:commentRangeStart w:id="66"/>
      <w:commentRangeEnd w:id="66"/>
      <w:r w:rsidR="000F57CC" w:rsidRPr="000F57CC">
        <w:rPr>
          <w:b/>
          <w:bCs/>
          <w:smallCaps/>
          <w:color w:val="EC694A" w:themeColor="accent2"/>
          <w:spacing w:val="5"/>
          <w:u w:val="single"/>
        </w:rPr>
        <w:commentReference w:id="66"/>
      </w:r>
    </w:p>
    <w:p w14:paraId="589A7F39" w14:textId="07667BDB" w:rsidR="00E549D7" w:rsidRDefault="00E549D7" w:rsidP="00E549D7">
      <w:r>
        <w:t>Source : ENERGIF, ROSE Ile-de-France et DDT 78</w:t>
      </w:r>
      <w:r w:rsidR="004220DC">
        <w:t>, 2020</w:t>
      </w:r>
    </w:p>
    <w:p w14:paraId="0E120D85" w14:textId="659D6B46" w:rsidR="008649EB" w:rsidRDefault="00E549D7" w:rsidP="00E549D7">
      <w:r>
        <w:t xml:space="preserve">Interrogée sur ce point, la DDT 78 mentionne l’existence de deux installations géothermiques sur le territoire. L’une, située sur la commune de Senlisse (entreprise </w:t>
      </w:r>
      <w:r w:rsidRPr="00E07BB0">
        <w:t>H2E SARL)</w:t>
      </w:r>
      <w:r>
        <w:t xml:space="preserve"> dispose d’une puissance de 53 kW. La seconde installation est située à Saint-Rémy-lès-Chevreuse. Ces informations de recensement par les particuliers étant facultatives, la puissance n’est pas connue. </w:t>
      </w:r>
    </w:p>
    <w:p w14:paraId="0881CE0B" w14:textId="1F74EA8A" w:rsidR="00E549D7" w:rsidRDefault="00E549D7" w:rsidP="00E549D7">
      <w:r>
        <w:t>La production annuelle relative à ces deux installations n’est pas disponible.</w:t>
      </w:r>
    </w:p>
    <w:p w14:paraId="4360B535" w14:textId="77777777" w:rsidR="008649EB" w:rsidRDefault="008649EB" w:rsidP="00E549D7"/>
    <w:p w14:paraId="76CA2A60" w14:textId="63566122" w:rsidR="00E549D7" w:rsidRDefault="00E549D7" w:rsidP="00EA1E3D">
      <w:pPr>
        <w:pStyle w:val="Lgende"/>
        <w:keepNext/>
        <w:jc w:val="center"/>
      </w:pPr>
      <w:bookmarkStart w:id="67" w:name="_Toc126093066"/>
      <w:r>
        <w:t xml:space="preserve">Tableau 6 : Géothermie - Production de chaleur - </w:t>
      </w:r>
      <w:r>
        <w:rPr>
          <w:rFonts w:cs="Calibri"/>
        </w:rPr>
        <w:t>É</w:t>
      </w:r>
      <w:r>
        <w:t>tat des lieux</w:t>
      </w:r>
      <w:bookmarkEnd w:id="67"/>
    </w:p>
    <w:tbl>
      <w:tblPr>
        <w:tblStyle w:val="AKAtab1"/>
        <w:tblW w:w="0" w:type="auto"/>
        <w:tblLook w:val="04A0" w:firstRow="1" w:lastRow="0" w:firstColumn="1" w:lastColumn="0" w:noHBand="0" w:noVBand="1"/>
      </w:tblPr>
      <w:tblGrid>
        <w:gridCol w:w="3067"/>
        <w:gridCol w:w="3067"/>
        <w:gridCol w:w="3068"/>
      </w:tblGrid>
      <w:tr w:rsidR="00E549D7" w14:paraId="60A523AC" w14:textId="77777777" w:rsidTr="00E549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44C8A66B" w14:textId="77777777" w:rsidR="00E549D7" w:rsidRPr="006F3EE1" w:rsidRDefault="00E549D7" w:rsidP="00231BC1">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Chaleur issue de la géothermie</w:t>
            </w:r>
          </w:p>
        </w:tc>
      </w:tr>
      <w:tr w:rsidR="00E549D7" w14:paraId="7E37EB13" w14:textId="77777777" w:rsidTr="00E549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3A565E4B" w14:textId="77777777" w:rsidR="00E549D7" w:rsidRDefault="00E549D7" w:rsidP="00231BC1">
            <w:pPr>
              <w:jc w:val="center"/>
            </w:pPr>
            <w:r>
              <w:t>Nombre d’installations</w:t>
            </w:r>
          </w:p>
        </w:tc>
        <w:tc>
          <w:tcPr>
            <w:tcW w:w="3067" w:type="dxa"/>
            <w:shd w:val="clear" w:color="auto" w:fill="FBE0DA" w:themeFill="accent2" w:themeFillTint="33"/>
          </w:tcPr>
          <w:p w14:paraId="1E6C30CD" w14:textId="77777777" w:rsidR="00E549D7" w:rsidRDefault="00E549D7"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3798DBE0" w14:textId="77777777" w:rsidR="00E549D7" w:rsidRDefault="00E549D7"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E549D7" w14:paraId="0129C612" w14:textId="77777777" w:rsidTr="00E549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42423BC7" w14:textId="77777777" w:rsidR="00E549D7" w:rsidRDefault="00E549D7" w:rsidP="00231BC1">
            <w:pPr>
              <w:jc w:val="center"/>
            </w:pPr>
            <w:r>
              <w:t>2</w:t>
            </w:r>
          </w:p>
        </w:tc>
        <w:tc>
          <w:tcPr>
            <w:tcW w:w="3067" w:type="dxa"/>
          </w:tcPr>
          <w:p w14:paraId="01FC0F26" w14:textId="77777777" w:rsidR="00E549D7" w:rsidRDefault="00E549D7" w:rsidP="00231BC1">
            <w:pPr>
              <w:jc w:val="center"/>
              <w:cnfStyle w:val="000000010000" w:firstRow="0" w:lastRow="0" w:firstColumn="0" w:lastColumn="0" w:oddVBand="0" w:evenVBand="0" w:oddHBand="0" w:evenHBand="1" w:firstRowFirstColumn="0" w:firstRowLastColumn="0" w:lastRowFirstColumn="0" w:lastRowLastColumn="0"/>
            </w:pPr>
            <w:r>
              <w:t>&lt; 0,2 MW</w:t>
            </w:r>
          </w:p>
        </w:tc>
        <w:tc>
          <w:tcPr>
            <w:tcW w:w="3068" w:type="dxa"/>
          </w:tcPr>
          <w:p w14:paraId="3DDDCDB7" w14:textId="77777777" w:rsidR="00E549D7" w:rsidRDefault="00E549D7" w:rsidP="00231BC1">
            <w:pPr>
              <w:jc w:val="center"/>
              <w:cnfStyle w:val="000000010000" w:firstRow="0" w:lastRow="0" w:firstColumn="0" w:lastColumn="0" w:oddVBand="0" w:evenVBand="0" w:oddHBand="0" w:evenHBand="1" w:firstRowFirstColumn="0" w:firstRowLastColumn="0" w:lastRowFirstColumn="0" w:lastRowLastColumn="0"/>
            </w:pPr>
            <w:r>
              <w:t>Non connue</w:t>
            </w:r>
          </w:p>
        </w:tc>
      </w:tr>
    </w:tbl>
    <w:p w14:paraId="5874BD8B" w14:textId="77777777" w:rsidR="00E549D7" w:rsidRDefault="00E549D7" w:rsidP="006C2C2E">
      <w:pPr>
        <w:rPr>
          <w:rFonts w:eastAsiaTheme="majorEastAsia"/>
        </w:rPr>
      </w:pPr>
    </w:p>
    <w:p w14:paraId="699733C4" w14:textId="62DFD882" w:rsidR="00E549D7" w:rsidRDefault="00E549D7" w:rsidP="008A0F26">
      <w:pPr>
        <w:pStyle w:val="Titre2"/>
        <w:ind w:left="1996" w:hanging="578"/>
      </w:pPr>
      <w:bookmarkStart w:id="68" w:name="_Toc129784732"/>
      <w:r>
        <w:t>Production de chaleur, d’électricité ou de carburants à partir d’un même vecteur énergétique</w:t>
      </w:r>
      <w:bookmarkEnd w:id="68"/>
    </w:p>
    <w:p w14:paraId="548A90BF" w14:textId="4D5F6319" w:rsidR="00E549D7" w:rsidRDefault="00E549D7" w:rsidP="002708C8">
      <w:pPr>
        <w:pStyle w:val="Titre3"/>
        <w:ind w:left="2818"/>
      </w:pPr>
      <w:bookmarkStart w:id="69" w:name="_Toc129784733"/>
      <w:r>
        <w:t>Le bois énergie</w:t>
      </w:r>
      <w:bookmarkEnd w:id="69"/>
      <w:r>
        <w:t xml:space="preserve"> </w:t>
      </w:r>
    </w:p>
    <w:p w14:paraId="537BBF1B" w14:textId="3CE2618D" w:rsidR="00E549D7" w:rsidRDefault="00E549D7" w:rsidP="00DF23DA">
      <w:pPr>
        <w:pStyle w:val="Titre4"/>
      </w:pPr>
      <w:r>
        <w:t>Cogénération bois et valorisation énergétique des déchets</w:t>
      </w:r>
    </w:p>
    <w:p w14:paraId="0706911C" w14:textId="77777777" w:rsidR="00DF23DA" w:rsidRPr="00E549D7" w:rsidRDefault="00DF23DA" w:rsidP="00DF23DA">
      <w:pPr>
        <w:rPr>
          <w:b/>
          <w:bCs/>
          <w:smallCaps/>
          <w:color w:val="EC694A" w:themeColor="accent2"/>
          <w:spacing w:val="5"/>
          <w:u w:val="single"/>
        </w:rPr>
      </w:pPr>
      <w:r w:rsidRPr="00712E4F">
        <w:rPr>
          <w:rStyle w:val="Rfrenceintense"/>
        </w:rPr>
        <w:t>Technologie</w:t>
      </w:r>
    </w:p>
    <w:p w14:paraId="23BFC712" w14:textId="3514352A" w:rsidR="00E549D7" w:rsidRDefault="00E549D7" w:rsidP="00E549D7">
      <w:r>
        <w:t>La production d’électricité par cogénération se fait selon plusieurs catégories de produits : les déchets ménagers ou industriels, le biogaz et le bois-énergie et autres composants solides. Le biogaz étant détaillé séparément, ce paragraphe traite des unités de valorisation énergétique des déchets et de cogénération bois.</w:t>
      </w:r>
    </w:p>
    <w:p w14:paraId="5BDCDA61" w14:textId="31A2EDD5" w:rsidR="00E549D7" w:rsidRDefault="00E549D7" w:rsidP="00E549D7">
      <w:r>
        <w:t>La biomasse est brûlée dans une chambre de combustion suivant plusieurs techniques de combustion, qui diffèrent selon l’installation.</w:t>
      </w:r>
    </w:p>
    <w:p w14:paraId="42B29FDE" w14:textId="77777777" w:rsidR="00E549D7" w:rsidRDefault="00E549D7" w:rsidP="00E549D7">
      <w:r>
        <w:t>En brûlant, la biomasse dégage de la chaleur qui va chauffer de l’eau dans une chaudière. L’eau se transforme en vapeur, envoyée sous pression vers une turbine. La vapeur fait tourner la turbine qui fait, à son tour, fonctionner un alternateur. Grâce à l'énergie fournie par la turbine, l'alternateur produit un courant électrique alternatif. Un transformateur élève la tension du courant électrique produit par l'alternateur pour qu'il puisse être plus facilement transporté dans les lignes à moyenne et haute tension.</w:t>
      </w:r>
    </w:p>
    <w:p w14:paraId="2234113B" w14:textId="124E51B6" w:rsidR="00DF23DA" w:rsidRPr="00DF23DA" w:rsidRDefault="00DF23DA" w:rsidP="00E549D7">
      <w:pPr>
        <w:rPr>
          <w:b/>
          <w:bCs/>
          <w:smallCaps/>
          <w:color w:val="EC694A" w:themeColor="accent2"/>
          <w:spacing w:val="5"/>
          <w:u w:val="single"/>
        </w:rPr>
      </w:pPr>
      <w:r w:rsidRPr="00712E4F">
        <w:rPr>
          <w:rStyle w:val="Rfrenceintense"/>
        </w:rPr>
        <w:t>Etat des lieux sur le territoire</w:t>
      </w:r>
    </w:p>
    <w:p w14:paraId="01278820" w14:textId="7D00C8C1" w:rsidR="00E549D7" w:rsidRPr="00DF23DA" w:rsidRDefault="00E549D7" w:rsidP="00E549D7">
      <w:pPr>
        <w:rPr>
          <w:i/>
        </w:rPr>
      </w:pPr>
      <w:r w:rsidRPr="00DF23DA">
        <w:rPr>
          <w:i/>
        </w:rPr>
        <w:t>Source : ENERGIF, ROSE Ile-de-</w:t>
      </w:r>
      <w:r w:rsidR="004220DC">
        <w:rPr>
          <w:i/>
        </w:rPr>
        <w:t xml:space="preserve">France, 2020 </w:t>
      </w:r>
    </w:p>
    <w:p w14:paraId="1602E14A" w14:textId="222286FB" w:rsidR="00E549D7" w:rsidRDefault="00E549D7" w:rsidP="00E549D7">
      <w:r>
        <w:t>Le territoire ne possède pas d’installation permettant la production d’électricit</w:t>
      </w:r>
      <w:r w:rsidR="00DF23DA">
        <w:t>é par valorisation énergétique.</w:t>
      </w:r>
      <w:r w:rsidR="004220DC">
        <w:br/>
      </w:r>
    </w:p>
    <w:p w14:paraId="07898E1B" w14:textId="4285B9B5" w:rsidR="00E549D7" w:rsidRDefault="00E549D7" w:rsidP="004220DC">
      <w:pPr>
        <w:pStyle w:val="Lgende"/>
        <w:keepNext/>
        <w:jc w:val="center"/>
      </w:pPr>
      <w:bookmarkStart w:id="70" w:name="_Toc126093067"/>
      <w:r>
        <w:t xml:space="preserve">Tableau 7 : Cogénération bois et valorisation énergétique des déchets - </w:t>
      </w:r>
      <w:r>
        <w:rPr>
          <w:rFonts w:cs="Calibri"/>
        </w:rPr>
        <w:t>É</w:t>
      </w:r>
      <w:r>
        <w:t>tat des lieux</w:t>
      </w:r>
      <w:bookmarkEnd w:id="70"/>
    </w:p>
    <w:tbl>
      <w:tblPr>
        <w:tblStyle w:val="AKAtab1"/>
        <w:tblW w:w="0" w:type="auto"/>
        <w:tblLook w:val="04A0" w:firstRow="1" w:lastRow="0" w:firstColumn="1" w:lastColumn="0" w:noHBand="0" w:noVBand="1"/>
      </w:tblPr>
      <w:tblGrid>
        <w:gridCol w:w="3067"/>
        <w:gridCol w:w="3067"/>
        <w:gridCol w:w="3068"/>
      </w:tblGrid>
      <w:tr w:rsidR="00E549D7" w14:paraId="5823FA44" w14:textId="77777777" w:rsidTr="00DF23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431D5A74" w14:textId="77777777" w:rsidR="00E549D7" w:rsidRPr="006F3EE1" w:rsidRDefault="00E549D7" w:rsidP="00231BC1">
            <w:pPr>
              <w:rPr>
                <w:b w:val="0"/>
                <w:bCs/>
                <w:color w:val="FFFFFF" w:themeColor="background1"/>
              </w:rPr>
            </w:pPr>
            <w:r w:rsidRPr="006F3EE1">
              <w:rPr>
                <w:b w:val="0"/>
                <w:bCs/>
                <w:color w:val="FFFFFF" w:themeColor="background1"/>
              </w:rPr>
              <w:t xml:space="preserve">Filière : </w:t>
            </w:r>
            <w:r>
              <w:rPr>
                <w:b w:val="0"/>
                <w:bCs/>
                <w:color w:val="FFFFFF" w:themeColor="background1"/>
              </w:rPr>
              <w:t>Cogénération bois et valorisation énergétique des déchets</w:t>
            </w:r>
          </w:p>
        </w:tc>
      </w:tr>
      <w:tr w:rsidR="00E549D7" w14:paraId="0E566E01" w14:textId="77777777" w:rsidTr="00DF2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7744F2A5" w14:textId="77777777" w:rsidR="00E549D7" w:rsidRDefault="00E549D7" w:rsidP="00231BC1">
            <w:pPr>
              <w:jc w:val="center"/>
            </w:pPr>
            <w:r>
              <w:t>Nombre d’installations</w:t>
            </w:r>
          </w:p>
        </w:tc>
        <w:tc>
          <w:tcPr>
            <w:tcW w:w="3067" w:type="dxa"/>
            <w:shd w:val="clear" w:color="auto" w:fill="FBE0DA" w:themeFill="accent2" w:themeFillTint="33"/>
          </w:tcPr>
          <w:p w14:paraId="2B1D8C05" w14:textId="77777777" w:rsidR="00E549D7" w:rsidRDefault="00E549D7"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27915AD5" w14:textId="77777777" w:rsidR="00E549D7" w:rsidRDefault="00E549D7"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E549D7" w14:paraId="329BB11B" w14:textId="77777777" w:rsidTr="00DF23DA">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24C6E0ED" w14:textId="77777777" w:rsidR="00E549D7" w:rsidRDefault="00E549D7" w:rsidP="00231BC1">
            <w:pPr>
              <w:jc w:val="center"/>
            </w:pPr>
            <w:r>
              <w:t>0</w:t>
            </w:r>
          </w:p>
        </w:tc>
        <w:tc>
          <w:tcPr>
            <w:tcW w:w="3067" w:type="dxa"/>
          </w:tcPr>
          <w:p w14:paraId="7CAF9F4A" w14:textId="77777777" w:rsidR="00E549D7" w:rsidRDefault="00E549D7" w:rsidP="00231BC1">
            <w:pPr>
              <w:jc w:val="center"/>
              <w:cnfStyle w:val="000000010000" w:firstRow="0" w:lastRow="0" w:firstColumn="0" w:lastColumn="0" w:oddVBand="0" w:evenVBand="0" w:oddHBand="0" w:evenHBand="1" w:firstRowFirstColumn="0" w:firstRowLastColumn="0" w:lastRowFirstColumn="0" w:lastRowLastColumn="0"/>
            </w:pPr>
            <w:r>
              <w:t>0 MW</w:t>
            </w:r>
          </w:p>
        </w:tc>
        <w:tc>
          <w:tcPr>
            <w:tcW w:w="3068" w:type="dxa"/>
          </w:tcPr>
          <w:p w14:paraId="787EC6C0" w14:textId="77777777" w:rsidR="00E549D7" w:rsidRDefault="00E549D7" w:rsidP="00231BC1">
            <w:pPr>
              <w:jc w:val="center"/>
              <w:cnfStyle w:val="000000010000" w:firstRow="0" w:lastRow="0" w:firstColumn="0" w:lastColumn="0" w:oddVBand="0" w:evenVBand="0" w:oddHBand="0" w:evenHBand="1" w:firstRowFirstColumn="0" w:firstRowLastColumn="0" w:lastRowFirstColumn="0" w:lastRowLastColumn="0"/>
            </w:pPr>
            <w:r>
              <w:t>0 MWh</w:t>
            </w:r>
          </w:p>
        </w:tc>
      </w:tr>
    </w:tbl>
    <w:p w14:paraId="7ED7EE6A" w14:textId="32B30EFB" w:rsidR="004220DC" w:rsidRDefault="004220DC" w:rsidP="006C2C2E">
      <w:pPr>
        <w:rPr>
          <w:rFonts w:eastAsiaTheme="majorEastAsia"/>
        </w:rPr>
      </w:pPr>
    </w:p>
    <w:p w14:paraId="1A528C5A" w14:textId="77777777" w:rsidR="004220DC" w:rsidRDefault="004220DC">
      <w:pPr>
        <w:spacing w:after="200" w:line="276" w:lineRule="auto"/>
        <w:jc w:val="left"/>
        <w:rPr>
          <w:rFonts w:eastAsiaTheme="majorEastAsia"/>
        </w:rPr>
      </w:pPr>
      <w:r>
        <w:rPr>
          <w:rFonts w:eastAsiaTheme="majorEastAsia"/>
        </w:rPr>
        <w:br w:type="page"/>
      </w:r>
    </w:p>
    <w:p w14:paraId="08110366" w14:textId="3FF23B4D" w:rsidR="00E549D7" w:rsidRDefault="00E549D7" w:rsidP="00DF23DA">
      <w:pPr>
        <w:pStyle w:val="Titre4"/>
      </w:pPr>
      <w:r>
        <w:lastRenderedPageBreak/>
        <w:t xml:space="preserve">Production de chaleur à partir du bois énergie </w:t>
      </w:r>
    </w:p>
    <w:p w14:paraId="235349B6" w14:textId="3B128431" w:rsidR="00DF23DA" w:rsidRPr="00DF23DA" w:rsidRDefault="00DF23DA" w:rsidP="00E549D7">
      <w:pPr>
        <w:rPr>
          <w:b/>
          <w:bCs/>
          <w:smallCaps/>
          <w:color w:val="EC694A" w:themeColor="accent2"/>
          <w:spacing w:val="5"/>
          <w:u w:val="single"/>
        </w:rPr>
      </w:pPr>
      <w:r w:rsidRPr="00712E4F">
        <w:rPr>
          <w:rStyle w:val="Rfrenceintense"/>
        </w:rPr>
        <w:t>Technologie</w:t>
      </w:r>
    </w:p>
    <w:p w14:paraId="1E266D84" w14:textId="42E0EA1E" w:rsidR="00E549D7" w:rsidRDefault="00E549D7" w:rsidP="00E549D7">
      <w:r>
        <w:t>Les chaudières à biomasse brûlent différents biocombustibles et peuvent remplacer les systèmes de chauffage classiques utilisant des ch</w:t>
      </w:r>
      <w:r w:rsidR="00DF23DA">
        <w:t>audières gaz, fioul ou propane.</w:t>
      </w:r>
    </w:p>
    <w:p w14:paraId="2A541DA5" w14:textId="49824C63" w:rsidR="00E549D7" w:rsidRDefault="00E549D7" w:rsidP="00E549D7">
      <w:r>
        <w:t xml:space="preserve">Les chaudières bois peuvent faire toutes les tailles, depuis 5 kW pour une maison individuelle à plusieurs MW pour une chaufferie collective alimentant un réseau de chaleur. </w:t>
      </w:r>
    </w:p>
    <w:p w14:paraId="02F78344" w14:textId="3080AE46" w:rsidR="00E549D7" w:rsidRDefault="00E549D7" w:rsidP="00E549D7">
      <w:r>
        <w:t>La chaufferie bois énergie est un local ou bâtiment dédié comportant une chaudière bois/biomasse ainsi parfois qu’une chaudière d’appoint fonctionnant avec une énergie fossile (gaz, fioul ou propane) et un silo de stockage du combustibl</w:t>
      </w:r>
      <w:r w:rsidR="00DF23DA">
        <w:t xml:space="preserve">e bois (plaquettes, granulés). </w:t>
      </w:r>
    </w:p>
    <w:p w14:paraId="23C276FA" w14:textId="4D6B2ABC" w:rsidR="00E549D7" w:rsidRDefault="00E549D7" w:rsidP="00E549D7">
      <w:r>
        <w:t>Le combustible est constitué soit de granulés de bois (sciure de bois compressé), soit de plaquettes forestières, bocagères ou urbaines ainsi que de résidus de l’industrie du bois pour les installations les plus importantes. Sous ces formes particulières, le bois a la faculté d’être transporté jusqu’au foyer de la chaudière d</w:t>
      </w:r>
      <w:r w:rsidR="00DF23DA">
        <w:t>e façon automatique et régulée.</w:t>
      </w:r>
    </w:p>
    <w:p w14:paraId="765B0FF0" w14:textId="77777777" w:rsidR="00E549D7" w:rsidRDefault="00E549D7" w:rsidP="00E549D7">
      <w:r>
        <w:t>Le bois-énergie peut aussi être consommé dans des poêles à bois ou des cheminées sous forme de bois-bûche.</w:t>
      </w:r>
    </w:p>
    <w:p w14:paraId="78436751" w14:textId="4559461D" w:rsidR="00DF23DA" w:rsidRPr="00DF23DA" w:rsidRDefault="00420807" w:rsidP="00DF23DA">
      <w:pPr>
        <w:rPr>
          <w:b/>
          <w:bCs/>
          <w:smallCaps/>
          <w:color w:val="EC694A" w:themeColor="accent2"/>
          <w:spacing w:val="5"/>
          <w:u w:val="single"/>
        </w:rPr>
      </w:pPr>
      <w:r>
        <w:rPr>
          <w:rStyle w:val="Rfrenceintense"/>
        </w:rPr>
        <w:br/>
      </w:r>
      <w:r w:rsidR="00DF23DA" w:rsidRPr="00712E4F">
        <w:rPr>
          <w:rStyle w:val="Rfrenceintense"/>
        </w:rPr>
        <w:t>Etat des lieux sur le territoire</w:t>
      </w:r>
    </w:p>
    <w:p w14:paraId="3294CC5D" w14:textId="08C47105" w:rsidR="00810CBB" w:rsidRPr="00DF23DA" w:rsidRDefault="00810CBB" w:rsidP="00810CBB">
      <w:pPr>
        <w:rPr>
          <w:i/>
        </w:rPr>
      </w:pPr>
      <w:r w:rsidRPr="00DF23DA">
        <w:rPr>
          <w:i/>
        </w:rPr>
        <w:t>Source : ENERGIF, ROSE Ile-de-</w:t>
      </w:r>
      <w:r w:rsidR="004220DC">
        <w:rPr>
          <w:i/>
        </w:rPr>
        <w:t>France, 2020</w:t>
      </w:r>
    </w:p>
    <w:p w14:paraId="0B6C1D62" w14:textId="074E189D" w:rsidR="00DF23DA" w:rsidRDefault="00DF23DA" w:rsidP="00DF23DA">
      <w:r>
        <w:t>L</w:t>
      </w:r>
      <w:r w:rsidR="004220DC">
        <w:t xml:space="preserve">a production de chaleur issue du </w:t>
      </w:r>
      <w:r>
        <w:t xml:space="preserve">bois-énergie </w:t>
      </w:r>
      <w:r w:rsidR="004220DC">
        <w:t>atteint</w:t>
      </w:r>
      <w:r>
        <w:t xml:space="preserve"> 898 MWh en 2020</w:t>
      </w:r>
      <w:r w:rsidR="004220DC">
        <w:t>. Elle est</w:t>
      </w:r>
      <w:r>
        <w:t xml:space="preserve"> issue d’une seule installation</w:t>
      </w:r>
      <w:r w:rsidR="005A0369">
        <w:t xml:space="preserve"> « industrielle » </w:t>
      </w:r>
      <w:r w:rsidR="004220DC">
        <w:t xml:space="preserve">recensée </w:t>
      </w:r>
      <w:r w:rsidR="005A0369">
        <w:t xml:space="preserve">par l’observatoire d’Ile-de-France </w:t>
      </w:r>
      <w:r>
        <w:t>sur la commune de Saint-Rémy-lès-Chevreuse qui serait apparentée à la fondation Coubertin. C</w:t>
      </w:r>
      <w:r w:rsidR="00900098">
        <w:t>ette installation</w:t>
      </w:r>
      <w:r>
        <w:t xml:space="preserve"> </w:t>
      </w:r>
      <w:r w:rsidRPr="00F3359E">
        <w:t xml:space="preserve">représente </w:t>
      </w:r>
      <w:r w:rsidR="00900098" w:rsidRPr="00F3359E">
        <w:t>4</w:t>
      </w:r>
      <w:r w:rsidRPr="00F3359E">
        <w:t>% de la production</w:t>
      </w:r>
      <w:r>
        <w:t xml:space="preserve"> d’énergie renouvelable du territoire en 2020.</w:t>
      </w:r>
    </w:p>
    <w:p w14:paraId="039CCE3E" w14:textId="77777777" w:rsidR="00E41729" w:rsidRDefault="00E41729" w:rsidP="00DF23DA">
      <w:r>
        <w:t xml:space="preserve">L’un des bâtiments du campus agricole, HECTAR, situé à Lévy-Saint-Nom est également équipé d’une chaudière bois depuis mi-2021. Cette installation est dotée d’une puissance de deux fois 120 kW (en fonctionnement alterné et sans appoint gaz) pour une consommation annuelle de bois estimée à 120 T. Cette installation n’est pas recensée par les services de l’état et sa production annuelle n’est pas connue. </w:t>
      </w:r>
    </w:p>
    <w:p w14:paraId="68C44D18" w14:textId="42564B8A" w:rsidR="00E41729" w:rsidRDefault="00E41729" w:rsidP="00907BE7">
      <w:pPr>
        <w:pStyle w:val="Lgende"/>
        <w:jc w:val="center"/>
      </w:pPr>
      <w:r>
        <w:t xml:space="preserve"> </w:t>
      </w:r>
    </w:p>
    <w:p w14:paraId="0DA4BD1C" w14:textId="77777777" w:rsidR="004220DC" w:rsidRDefault="004220DC" w:rsidP="00E41729">
      <w:pPr>
        <w:pStyle w:val="Lgende"/>
        <w:keepNext/>
        <w:jc w:val="center"/>
      </w:pPr>
      <w:bookmarkStart w:id="71" w:name="_Toc126093068"/>
      <w:r>
        <w:t xml:space="preserve">Tableau 8 : Biomasse - </w:t>
      </w:r>
      <w:r>
        <w:rPr>
          <w:rFonts w:cs="Calibri"/>
        </w:rPr>
        <w:t>É</w:t>
      </w:r>
      <w:r>
        <w:t>tat des lieux</w:t>
      </w:r>
      <w:bookmarkEnd w:id="71"/>
    </w:p>
    <w:tbl>
      <w:tblPr>
        <w:tblStyle w:val="AKAtab1"/>
        <w:tblW w:w="0" w:type="auto"/>
        <w:tblLook w:val="04A0" w:firstRow="1" w:lastRow="0" w:firstColumn="1" w:lastColumn="0" w:noHBand="0" w:noVBand="1"/>
      </w:tblPr>
      <w:tblGrid>
        <w:gridCol w:w="3067"/>
        <w:gridCol w:w="3067"/>
        <w:gridCol w:w="3068"/>
      </w:tblGrid>
      <w:tr w:rsidR="004220DC" w14:paraId="4B4DA64C" w14:textId="77777777" w:rsidTr="003346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03F78FA0" w14:textId="77777777" w:rsidR="004220DC" w:rsidRPr="006F3EE1" w:rsidRDefault="004220DC" w:rsidP="00334612">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Bois énergie</w:t>
            </w:r>
          </w:p>
        </w:tc>
      </w:tr>
      <w:tr w:rsidR="004220DC" w14:paraId="1E553257" w14:textId="77777777" w:rsidTr="003346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7CF17BC9" w14:textId="77777777" w:rsidR="004220DC" w:rsidRDefault="004220DC" w:rsidP="00334612">
            <w:pPr>
              <w:jc w:val="center"/>
            </w:pPr>
            <w:r>
              <w:t>Nombre d’installations</w:t>
            </w:r>
          </w:p>
        </w:tc>
        <w:tc>
          <w:tcPr>
            <w:tcW w:w="3067" w:type="dxa"/>
            <w:shd w:val="clear" w:color="auto" w:fill="FBE0DA" w:themeFill="accent2" w:themeFillTint="33"/>
          </w:tcPr>
          <w:p w14:paraId="5726C77A" w14:textId="77777777" w:rsidR="004220DC" w:rsidRDefault="004220DC" w:rsidP="00334612">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05BF7E19" w14:textId="77777777" w:rsidR="004220DC" w:rsidRDefault="004220DC" w:rsidP="00334612">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4220DC" w14:paraId="48E330D1" w14:textId="77777777" w:rsidTr="003346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4579025B" w14:textId="77777777" w:rsidR="004220DC" w:rsidRDefault="004220DC" w:rsidP="00334612">
            <w:pPr>
              <w:jc w:val="center"/>
            </w:pPr>
            <w:r>
              <w:t>1</w:t>
            </w:r>
          </w:p>
        </w:tc>
        <w:tc>
          <w:tcPr>
            <w:tcW w:w="3067" w:type="dxa"/>
          </w:tcPr>
          <w:p w14:paraId="4E5C333A" w14:textId="77777777" w:rsidR="004220DC" w:rsidRDefault="004220DC" w:rsidP="00334612">
            <w:pPr>
              <w:jc w:val="center"/>
              <w:cnfStyle w:val="000000010000" w:firstRow="0" w:lastRow="0" w:firstColumn="0" w:lastColumn="0" w:oddVBand="0" w:evenVBand="0" w:oddHBand="0" w:evenHBand="1" w:firstRowFirstColumn="0" w:firstRowLastColumn="0" w:lastRowFirstColumn="0" w:lastRowLastColumn="0"/>
            </w:pPr>
            <w:r>
              <w:t>400 kW</w:t>
            </w:r>
          </w:p>
        </w:tc>
        <w:tc>
          <w:tcPr>
            <w:tcW w:w="3068" w:type="dxa"/>
          </w:tcPr>
          <w:p w14:paraId="42260D90" w14:textId="77777777" w:rsidR="004220DC" w:rsidRDefault="004220DC" w:rsidP="00334612">
            <w:pPr>
              <w:jc w:val="center"/>
              <w:cnfStyle w:val="000000010000" w:firstRow="0" w:lastRow="0" w:firstColumn="0" w:lastColumn="0" w:oddVBand="0" w:evenVBand="0" w:oddHBand="0" w:evenHBand="1" w:firstRowFirstColumn="0" w:firstRowLastColumn="0" w:lastRowFirstColumn="0" w:lastRowLastColumn="0"/>
            </w:pPr>
            <w:r>
              <w:t>898 MWh</w:t>
            </w:r>
          </w:p>
        </w:tc>
      </w:tr>
    </w:tbl>
    <w:p w14:paraId="6F4019E9" w14:textId="59121125" w:rsidR="004220DC" w:rsidRPr="001B4253" w:rsidRDefault="004220DC" w:rsidP="004220DC">
      <w:pPr>
        <w:rPr>
          <w:u w:val="single"/>
        </w:rPr>
      </w:pPr>
      <w:r>
        <w:rPr>
          <w:u w:val="single"/>
        </w:rPr>
        <w:br/>
      </w:r>
      <w:r w:rsidRPr="001B4253">
        <w:rPr>
          <w:u w:val="single"/>
        </w:rPr>
        <w:t xml:space="preserve">Point d’attention méthodologique : </w:t>
      </w:r>
    </w:p>
    <w:p w14:paraId="092EEE05" w14:textId="40983DFF" w:rsidR="004220DC" w:rsidRDefault="004220DC" w:rsidP="004220DC">
      <w:r>
        <w:t xml:space="preserve">Les données de production </w:t>
      </w:r>
      <w:r w:rsidR="005A0369">
        <w:t>de chaleur</w:t>
      </w:r>
      <w:r>
        <w:t xml:space="preserve"> renouvelable issue </w:t>
      </w:r>
      <w:proofErr w:type="gramStart"/>
      <w:r>
        <w:t>du bois-énergie proposées</w:t>
      </w:r>
      <w:proofErr w:type="gramEnd"/>
      <w:r>
        <w:t xml:space="preserve"> par l’observatoire d’Ile-de-France ne mentionnent que les installations bois-énergie recensées </w:t>
      </w:r>
      <w:r w:rsidR="005A0369">
        <w:t xml:space="preserve">sur le territoire </w:t>
      </w:r>
      <w:r>
        <w:t xml:space="preserve">sans prendre en compte l’ensemble des installations </w:t>
      </w:r>
      <w:r w:rsidR="005A0369">
        <w:t xml:space="preserve">existantes </w:t>
      </w:r>
      <w:r w:rsidR="00E41729">
        <w:t xml:space="preserve">sur le territoire </w:t>
      </w:r>
      <w:r w:rsidR="005A0369">
        <w:t xml:space="preserve">et notamment celles très nombreuses installées chez les </w:t>
      </w:r>
      <w:r>
        <w:t>particuliers</w:t>
      </w:r>
      <w:r w:rsidR="005A0369">
        <w:t xml:space="preserve"> (inserts, foyers ouverts…)</w:t>
      </w:r>
      <w:r>
        <w:t xml:space="preserve">. </w:t>
      </w:r>
    </w:p>
    <w:p w14:paraId="4AE5A31E" w14:textId="21DA9530" w:rsidR="005A0369" w:rsidRPr="004220DC" w:rsidRDefault="00E41729" w:rsidP="005A0369">
      <w:pPr>
        <w:rPr>
          <w:iCs/>
        </w:rPr>
      </w:pPr>
      <w:r>
        <w:rPr>
          <w:iCs/>
        </w:rPr>
        <w:t>Si l’on</w:t>
      </w:r>
      <w:r w:rsidR="005A0369">
        <w:rPr>
          <w:iCs/>
        </w:rPr>
        <w:t xml:space="preserve"> consid</w:t>
      </w:r>
      <w:r w:rsidR="00900098">
        <w:rPr>
          <w:iCs/>
        </w:rPr>
        <w:t>è</w:t>
      </w:r>
      <w:r w:rsidR="005A0369">
        <w:rPr>
          <w:iCs/>
        </w:rPr>
        <w:t>r</w:t>
      </w:r>
      <w:r>
        <w:rPr>
          <w:iCs/>
        </w:rPr>
        <w:t>e</w:t>
      </w:r>
      <w:r w:rsidR="005A0369">
        <w:rPr>
          <w:iCs/>
        </w:rPr>
        <w:t xml:space="preserve"> que la production de chaleur issue du bois-énergie est équivalente au besoin en chaleur couvert par le bois-énergie et selon les données de l’observatoire présentées dans la partie état des lieux</w:t>
      </w:r>
      <w:r>
        <w:rPr>
          <w:iCs/>
        </w:rPr>
        <w:t xml:space="preserve">, </w:t>
      </w:r>
      <w:r w:rsidR="005A0369" w:rsidRPr="004220DC">
        <w:rPr>
          <w:iCs/>
        </w:rPr>
        <w:t xml:space="preserve">la production de chaleur renouvelable issue du bois-énergie est estimée à 23 </w:t>
      </w:r>
      <w:proofErr w:type="gramStart"/>
      <w:r w:rsidR="005A0369" w:rsidRPr="004220DC">
        <w:rPr>
          <w:iCs/>
        </w:rPr>
        <w:t>GWh</w:t>
      </w:r>
      <w:proofErr w:type="gramEnd"/>
      <w:r w:rsidR="005A0369" w:rsidRPr="004220DC">
        <w:rPr>
          <w:iCs/>
        </w:rPr>
        <w:t xml:space="preserve"> en 2020</w:t>
      </w:r>
      <w:r w:rsidR="005A0369">
        <w:rPr>
          <w:iCs/>
        </w:rPr>
        <w:t xml:space="preserve"> sur le territoire de la CC Haute Vallée de Chevreuse. Cette production </w:t>
      </w:r>
      <w:r>
        <w:rPr>
          <w:iCs/>
        </w:rPr>
        <w:t xml:space="preserve">est très largement </w:t>
      </w:r>
      <w:r w:rsidR="005A0369">
        <w:rPr>
          <w:iCs/>
        </w:rPr>
        <w:t>d’origine domestique</w:t>
      </w:r>
      <w:r>
        <w:rPr>
          <w:iCs/>
        </w:rPr>
        <w:t xml:space="preserve"> (96%)</w:t>
      </w:r>
      <w:r w:rsidR="005A0369" w:rsidRPr="004220DC">
        <w:rPr>
          <w:iCs/>
        </w:rPr>
        <w:t xml:space="preserve">. </w:t>
      </w:r>
    </w:p>
    <w:p w14:paraId="14ED50C4" w14:textId="77777777" w:rsidR="004220DC" w:rsidRDefault="004220DC" w:rsidP="00DF23DA"/>
    <w:p w14:paraId="4B5BC48C" w14:textId="77777777" w:rsidR="004220DC" w:rsidRDefault="004220DC" w:rsidP="00DF23DA"/>
    <w:p w14:paraId="6FA4CDD0" w14:textId="7EDBF320" w:rsidR="00DF23DA" w:rsidRDefault="001F79C5" w:rsidP="001F79C5">
      <w:pPr>
        <w:pStyle w:val="Titre3"/>
        <w:ind w:left="2818"/>
      </w:pPr>
      <w:bookmarkStart w:id="72" w:name="_Toc129784734"/>
      <w:r>
        <w:lastRenderedPageBreak/>
        <w:t>Le b</w:t>
      </w:r>
      <w:r w:rsidR="00DF23DA">
        <w:t>iogaz</w:t>
      </w:r>
      <w:bookmarkEnd w:id="72"/>
    </w:p>
    <w:p w14:paraId="2D22BE47" w14:textId="45280DC9" w:rsidR="00DF23DA" w:rsidRPr="00DF23DA" w:rsidRDefault="00DF23DA" w:rsidP="00DF23DA">
      <w:pPr>
        <w:rPr>
          <w:b/>
          <w:bCs/>
          <w:smallCaps/>
          <w:color w:val="EC694A" w:themeColor="accent2"/>
          <w:spacing w:val="5"/>
          <w:u w:val="single"/>
        </w:rPr>
      </w:pPr>
      <w:r w:rsidRPr="00712E4F">
        <w:rPr>
          <w:rStyle w:val="Rfrenceintense"/>
        </w:rPr>
        <w:t>Technologie</w:t>
      </w:r>
    </w:p>
    <w:p w14:paraId="2956F6C2" w14:textId="6C5D0E51" w:rsidR="00DF23DA" w:rsidRDefault="00DF23DA" w:rsidP="00DF23DA">
      <w:r>
        <w:t xml:space="preserve">La méthanisation consiste en la production de biogaz à partir de matières organiques (déchets agricoles, industriels, des ménages…) grâce à des bactéries anaérobies (vivant en l’absence d’oxygène). </w:t>
      </w:r>
    </w:p>
    <w:p w14:paraId="08453A82" w14:textId="77777777" w:rsidR="00DF23DA" w:rsidRDefault="00DF23DA" w:rsidP="00DF23DA">
      <w:r>
        <w:t xml:space="preserve">Le biogaz est composé en grande partie de méthane, équivalent à du gaz naturel. Ce biogaz peut alors être valorisé de plusieurs manières : </w:t>
      </w:r>
    </w:p>
    <w:p w14:paraId="62E25262" w14:textId="77777777" w:rsidR="00DF23DA" w:rsidRPr="00AF073F" w:rsidRDefault="00DF23DA" w:rsidP="008A0F26">
      <w:pPr>
        <w:pStyle w:val="Paragraphedeliste"/>
        <w:numPr>
          <w:ilvl w:val="0"/>
          <w:numId w:val="8"/>
        </w:numPr>
        <w:spacing w:after="200" w:line="276" w:lineRule="auto"/>
      </w:pPr>
      <w:r w:rsidRPr="00AF073F">
        <w:t>Dans des chaudières pour produire de la chaleur,</w:t>
      </w:r>
    </w:p>
    <w:p w14:paraId="1F7F6C8B" w14:textId="77777777" w:rsidR="00DF23DA" w:rsidRPr="00AF073F" w:rsidRDefault="00DF23DA" w:rsidP="008A0F26">
      <w:pPr>
        <w:pStyle w:val="Paragraphedeliste"/>
        <w:numPr>
          <w:ilvl w:val="0"/>
          <w:numId w:val="8"/>
        </w:numPr>
        <w:spacing w:after="200" w:line="276" w:lineRule="auto"/>
      </w:pPr>
      <w:r w:rsidRPr="00AF073F">
        <w:t>Dans des moteurs de cogénération produisant de l’électricité et de la chaleur,</w:t>
      </w:r>
    </w:p>
    <w:p w14:paraId="7673DC65" w14:textId="77777777" w:rsidR="00DF23DA" w:rsidRPr="00AF073F" w:rsidRDefault="00DF23DA" w:rsidP="008A0F26">
      <w:pPr>
        <w:pStyle w:val="Paragraphedeliste"/>
        <w:numPr>
          <w:ilvl w:val="0"/>
          <w:numId w:val="8"/>
        </w:numPr>
        <w:spacing w:after="200" w:line="276" w:lineRule="auto"/>
      </w:pPr>
      <w:r w:rsidRPr="00AF073F">
        <w:t>En injection dans le réseau de gaz naturel après épuration des composés autres que le méthane,</w:t>
      </w:r>
    </w:p>
    <w:p w14:paraId="55DB0EF8" w14:textId="77777777" w:rsidR="00DF23DA" w:rsidRPr="00AF073F" w:rsidRDefault="00DF23DA" w:rsidP="008A0F26">
      <w:pPr>
        <w:pStyle w:val="Paragraphedeliste"/>
        <w:numPr>
          <w:ilvl w:val="0"/>
          <w:numId w:val="8"/>
        </w:numPr>
        <w:spacing w:after="200" w:line="276" w:lineRule="auto"/>
      </w:pPr>
      <w:r w:rsidRPr="00AF073F">
        <w:t>En carburant pour véhicules adaptés (GNV) de la même manière que du gaz naturel.</w:t>
      </w:r>
    </w:p>
    <w:p w14:paraId="4FDA18BC" w14:textId="3D9CD486" w:rsidR="00DF23DA" w:rsidRDefault="00DF23DA" w:rsidP="00DF23DA">
      <w:r>
        <w:t>Le résidu organique après digestion est appelé digestat et peut être valorisé comme fertilisant sur les terres agricoles.</w:t>
      </w:r>
      <w:r w:rsidR="001F79C5">
        <w:br/>
      </w:r>
    </w:p>
    <w:p w14:paraId="081312F8" w14:textId="3F451BB3" w:rsidR="00DF23DA" w:rsidRPr="00DF23DA" w:rsidRDefault="00DF23DA" w:rsidP="00DF23DA">
      <w:pPr>
        <w:rPr>
          <w:b/>
          <w:bCs/>
          <w:smallCaps/>
          <w:color w:val="EC694A" w:themeColor="accent2"/>
          <w:spacing w:val="5"/>
          <w:u w:val="single"/>
        </w:rPr>
      </w:pPr>
      <w:r w:rsidRPr="00712E4F">
        <w:rPr>
          <w:rStyle w:val="Rfrenceintense"/>
        </w:rPr>
        <w:t>Etat des lieux sur le territoire</w:t>
      </w:r>
    </w:p>
    <w:p w14:paraId="6C565CEB" w14:textId="3BEEDC29" w:rsidR="00DF23DA" w:rsidRDefault="00DF23DA" w:rsidP="00DF23DA">
      <w:r>
        <w:t>Source : ENERGIF, ROSE Ile-de-</w:t>
      </w:r>
      <w:r w:rsidR="004220DC">
        <w:t>France, 2020</w:t>
      </w:r>
    </w:p>
    <w:p w14:paraId="18F596E0" w14:textId="158CDCF1" w:rsidR="00DF23DA" w:rsidRDefault="00DF23DA" w:rsidP="00DF23DA">
      <w:r>
        <w:t>Le territoire ne possède pas d’installation de production de biogaz ou de méthanisation recensée.</w:t>
      </w:r>
    </w:p>
    <w:p w14:paraId="20A9DFDA" w14:textId="5804CB90" w:rsidR="00DF23DA" w:rsidRDefault="00DF23DA" w:rsidP="001F79C5">
      <w:pPr>
        <w:pStyle w:val="Lgende"/>
        <w:keepNext/>
        <w:jc w:val="center"/>
      </w:pPr>
      <w:bookmarkStart w:id="73" w:name="_Toc126093069"/>
      <w:r>
        <w:t xml:space="preserve">Tableau 9 : Biogaz - </w:t>
      </w:r>
      <w:r>
        <w:rPr>
          <w:rFonts w:cs="Calibri"/>
        </w:rPr>
        <w:t>É</w:t>
      </w:r>
      <w:r>
        <w:t>tat des lieux</w:t>
      </w:r>
      <w:bookmarkEnd w:id="73"/>
    </w:p>
    <w:tbl>
      <w:tblPr>
        <w:tblStyle w:val="AKAtab1"/>
        <w:tblW w:w="0" w:type="auto"/>
        <w:tblLook w:val="04A0" w:firstRow="1" w:lastRow="0" w:firstColumn="1" w:lastColumn="0" w:noHBand="0" w:noVBand="1"/>
      </w:tblPr>
      <w:tblGrid>
        <w:gridCol w:w="3067"/>
        <w:gridCol w:w="3067"/>
        <w:gridCol w:w="3068"/>
      </w:tblGrid>
      <w:tr w:rsidR="00DF23DA" w14:paraId="27118FBA" w14:textId="77777777" w:rsidTr="00DF23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2FFD64D2" w14:textId="77777777" w:rsidR="00DF23DA" w:rsidRPr="006F3EE1" w:rsidRDefault="00DF23DA" w:rsidP="00231BC1">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Énergie issue de la méthanisation</w:t>
            </w:r>
          </w:p>
        </w:tc>
      </w:tr>
      <w:tr w:rsidR="00DF23DA" w14:paraId="4E58AB4F" w14:textId="77777777" w:rsidTr="00DF2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67C39854" w14:textId="77777777" w:rsidR="00DF23DA" w:rsidRDefault="00DF23DA" w:rsidP="00231BC1">
            <w:pPr>
              <w:jc w:val="center"/>
            </w:pPr>
            <w:r>
              <w:t>Nombre d’installations</w:t>
            </w:r>
          </w:p>
        </w:tc>
        <w:tc>
          <w:tcPr>
            <w:tcW w:w="3067" w:type="dxa"/>
            <w:shd w:val="clear" w:color="auto" w:fill="FBE0DA" w:themeFill="accent2" w:themeFillTint="33"/>
          </w:tcPr>
          <w:p w14:paraId="55B7AC7A" w14:textId="77777777" w:rsidR="00DF23DA" w:rsidRDefault="00DF23DA"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0260959F" w14:textId="77777777" w:rsidR="00DF23DA" w:rsidRDefault="00DF23DA"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DF23DA" w14:paraId="6EB9AE0F" w14:textId="77777777" w:rsidTr="00DF2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3AB0D888" w14:textId="77777777" w:rsidR="00DF23DA" w:rsidRDefault="00DF23DA" w:rsidP="00231BC1">
            <w:pPr>
              <w:jc w:val="center"/>
            </w:pPr>
            <w:r>
              <w:t>0</w:t>
            </w:r>
          </w:p>
        </w:tc>
        <w:tc>
          <w:tcPr>
            <w:tcW w:w="3067" w:type="dxa"/>
          </w:tcPr>
          <w:p w14:paraId="2D6FBA4A" w14:textId="77777777" w:rsidR="00DF23DA" w:rsidRDefault="00DF23DA" w:rsidP="00231BC1">
            <w:pPr>
              <w:jc w:val="center"/>
              <w:cnfStyle w:val="000000010000" w:firstRow="0" w:lastRow="0" w:firstColumn="0" w:lastColumn="0" w:oddVBand="0" w:evenVBand="0" w:oddHBand="0" w:evenHBand="1" w:firstRowFirstColumn="0" w:firstRowLastColumn="0" w:lastRowFirstColumn="0" w:lastRowLastColumn="0"/>
            </w:pPr>
            <w:r>
              <w:t>0 MW</w:t>
            </w:r>
          </w:p>
        </w:tc>
        <w:tc>
          <w:tcPr>
            <w:tcW w:w="3068" w:type="dxa"/>
          </w:tcPr>
          <w:p w14:paraId="324A7D67" w14:textId="77777777" w:rsidR="00DF23DA" w:rsidRDefault="00DF23DA" w:rsidP="00231BC1">
            <w:pPr>
              <w:jc w:val="center"/>
              <w:cnfStyle w:val="000000010000" w:firstRow="0" w:lastRow="0" w:firstColumn="0" w:lastColumn="0" w:oddVBand="0" w:evenVBand="0" w:oddHBand="0" w:evenHBand="1" w:firstRowFirstColumn="0" w:firstRowLastColumn="0" w:lastRowFirstColumn="0" w:lastRowLastColumn="0"/>
            </w:pPr>
            <w:r>
              <w:t>0 MWh</w:t>
            </w:r>
          </w:p>
        </w:tc>
      </w:tr>
    </w:tbl>
    <w:p w14:paraId="20788AB1" w14:textId="77777777" w:rsidR="00DF23DA" w:rsidRDefault="00DF23DA" w:rsidP="006C2C2E">
      <w:pPr>
        <w:rPr>
          <w:rFonts w:eastAsiaTheme="majorEastAsia"/>
        </w:rPr>
      </w:pPr>
    </w:p>
    <w:p w14:paraId="00ACA230" w14:textId="4C2C73B0" w:rsidR="00C458AE" w:rsidRDefault="00C458AE" w:rsidP="002708C8">
      <w:pPr>
        <w:pStyle w:val="Titre3"/>
        <w:ind w:left="2818"/>
      </w:pPr>
      <w:bookmarkStart w:id="74" w:name="_Toc129784735"/>
      <w:r>
        <w:t>La récupération de chaleur fatale</w:t>
      </w:r>
      <w:bookmarkEnd w:id="74"/>
    </w:p>
    <w:p w14:paraId="0463DC07" w14:textId="47606482" w:rsidR="00C458AE" w:rsidRPr="00C458AE" w:rsidRDefault="00C458AE" w:rsidP="006C2C2E">
      <w:pPr>
        <w:rPr>
          <w:b/>
          <w:bCs/>
          <w:smallCaps/>
          <w:color w:val="EC694A" w:themeColor="accent2"/>
          <w:spacing w:val="5"/>
          <w:u w:val="single"/>
        </w:rPr>
      </w:pPr>
      <w:r w:rsidRPr="00712E4F">
        <w:rPr>
          <w:rStyle w:val="Rfrenceintense"/>
        </w:rPr>
        <w:t>Technologie</w:t>
      </w:r>
    </w:p>
    <w:p w14:paraId="79D6CC52" w14:textId="28354AA5" w:rsidR="00C458AE" w:rsidRDefault="00C458AE" w:rsidP="006C2C2E">
      <w:r w:rsidRPr="00AF073F">
        <w:t>L’énergie fatale, ou énergie de récupération correspond à l’énergie présente ou piégée dans certains processus ou produits, et qui peut être récupérée et valorisée. Cette énergie se présente notamment sous forme de chaleur non valorisée dans l’industrie (chaleur fatale) par exemple à partir de groupes froids, de compresseurs, de serveurs informatiques, de fours...</w:t>
      </w:r>
    </w:p>
    <w:p w14:paraId="18AD59D7" w14:textId="693A2DE0" w:rsidR="00C458AE" w:rsidRPr="00C458AE" w:rsidRDefault="00C458AE" w:rsidP="006C2C2E">
      <w:pPr>
        <w:rPr>
          <w:b/>
          <w:bCs/>
          <w:smallCaps/>
          <w:color w:val="EC694A" w:themeColor="accent2"/>
          <w:spacing w:val="5"/>
          <w:u w:val="single"/>
        </w:rPr>
      </w:pPr>
      <w:r w:rsidRPr="00712E4F">
        <w:rPr>
          <w:rStyle w:val="Rfrenceintense"/>
        </w:rPr>
        <w:t>Etat des lieux sur le territoire</w:t>
      </w:r>
    </w:p>
    <w:p w14:paraId="3EAD1557" w14:textId="2E32034F" w:rsidR="00C458AE" w:rsidRPr="00C458AE" w:rsidRDefault="00C458AE" w:rsidP="00C458AE">
      <w:pPr>
        <w:rPr>
          <w:i/>
        </w:rPr>
      </w:pPr>
      <w:r w:rsidRPr="00C458AE">
        <w:rPr>
          <w:i/>
        </w:rPr>
        <w:t>Source : ENERGIF, ROSE Ile-de-</w:t>
      </w:r>
      <w:r w:rsidR="004220DC">
        <w:rPr>
          <w:i/>
        </w:rPr>
        <w:t xml:space="preserve">France, </w:t>
      </w:r>
      <w:r w:rsidR="004220DC">
        <w:t>2020</w:t>
      </w:r>
    </w:p>
    <w:p w14:paraId="7683A53A" w14:textId="2B43EB44" w:rsidR="00C458AE" w:rsidRDefault="00C458AE" w:rsidP="00C458AE">
      <w:r>
        <w:t>La CC de la Haute Vallée de Chevreuse ne possède pas d’installation de récupération d’énergie fatale recensée.</w:t>
      </w:r>
    </w:p>
    <w:p w14:paraId="33669BE8" w14:textId="3F5B1C03" w:rsidR="00C458AE" w:rsidRDefault="00C458AE" w:rsidP="00B65C39">
      <w:pPr>
        <w:pStyle w:val="Lgende"/>
        <w:keepNext/>
        <w:jc w:val="center"/>
      </w:pPr>
      <w:bookmarkStart w:id="75" w:name="_Toc126093070"/>
      <w:r>
        <w:t xml:space="preserve">Tableau 10 : </w:t>
      </w:r>
      <w:r>
        <w:rPr>
          <w:rFonts w:cs="Calibri"/>
        </w:rPr>
        <w:t>É</w:t>
      </w:r>
      <w:r>
        <w:t xml:space="preserve">nergie fatale - </w:t>
      </w:r>
      <w:r>
        <w:rPr>
          <w:rFonts w:cs="Calibri"/>
        </w:rPr>
        <w:t>É</w:t>
      </w:r>
      <w:r>
        <w:t>tat des lieux</w:t>
      </w:r>
      <w:bookmarkEnd w:id="75"/>
    </w:p>
    <w:tbl>
      <w:tblPr>
        <w:tblStyle w:val="AKAtab1"/>
        <w:tblW w:w="0" w:type="auto"/>
        <w:tblLook w:val="04A0" w:firstRow="1" w:lastRow="0" w:firstColumn="1" w:lastColumn="0" w:noHBand="0" w:noVBand="1"/>
      </w:tblPr>
      <w:tblGrid>
        <w:gridCol w:w="3067"/>
        <w:gridCol w:w="3067"/>
        <w:gridCol w:w="3068"/>
      </w:tblGrid>
      <w:tr w:rsidR="00C458AE" w14:paraId="4A163ADF" w14:textId="77777777" w:rsidTr="00C458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0277D440" w14:textId="77777777" w:rsidR="00C458AE" w:rsidRPr="006F3EE1" w:rsidRDefault="00C458AE" w:rsidP="00231BC1">
            <w:pPr>
              <w:rPr>
                <w:b w:val="0"/>
                <w:bCs/>
                <w:color w:val="FFFFFF" w:themeColor="background1"/>
              </w:rPr>
            </w:pPr>
            <w:r w:rsidRPr="006F3EE1">
              <w:rPr>
                <w:b w:val="0"/>
                <w:bCs/>
                <w:color w:val="FFFFFF" w:themeColor="background1"/>
              </w:rPr>
              <w:t xml:space="preserve">Filière : </w:t>
            </w:r>
            <w:r>
              <w:rPr>
                <w:rFonts w:cs="Calibri"/>
                <w:b w:val="0"/>
                <w:bCs/>
                <w:color w:val="FFFFFF" w:themeColor="background1"/>
              </w:rPr>
              <w:t>Énergie de récupération</w:t>
            </w:r>
          </w:p>
        </w:tc>
      </w:tr>
      <w:tr w:rsidR="00C458AE" w14:paraId="1C697634" w14:textId="77777777" w:rsidTr="00C4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51DD4984" w14:textId="77777777" w:rsidR="00C458AE" w:rsidRDefault="00C458AE" w:rsidP="00231BC1">
            <w:pPr>
              <w:jc w:val="center"/>
            </w:pPr>
            <w:r>
              <w:t>Nombre d’installations</w:t>
            </w:r>
          </w:p>
        </w:tc>
        <w:tc>
          <w:tcPr>
            <w:tcW w:w="3067" w:type="dxa"/>
            <w:shd w:val="clear" w:color="auto" w:fill="FBE0DA" w:themeFill="accent2" w:themeFillTint="33"/>
          </w:tcPr>
          <w:p w14:paraId="315A28E4" w14:textId="77777777" w:rsidR="00C458AE" w:rsidRDefault="00C458AE" w:rsidP="00231BC1">
            <w:pPr>
              <w:jc w:val="center"/>
              <w:cnfStyle w:val="000000100000" w:firstRow="0" w:lastRow="0" w:firstColumn="0" w:lastColumn="0" w:oddVBand="0" w:evenVBand="0" w:oddHBand="1" w:evenHBand="0" w:firstRowFirstColumn="0" w:firstRowLastColumn="0" w:lastRowFirstColumn="0" w:lastRowLastColumn="0"/>
            </w:pPr>
            <w:r>
              <w:t>Puissance totale</w:t>
            </w:r>
          </w:p>
        </w:tc>
        <w:tc>
          <w:tcPr>
            <w:tcW w:w="3068" w:type="dxa"/>
            <w:shd w:val="clear" w:color="auto" w:fill="FBE0DA" w:themeFill="accent2" w:themeFillTint="33"/>
          </w:tcPr>
          <w:p w14:paraId="6ADF87CB" w14:textId="77777777" w:rsidR="00C458AE" w:rsidRDefault="00C458AE" w:rsidP="00231BC1">
            <w:pPr>
              <w:jc w:val="center"/>
              <w:cnfStyle w:val="000000100000" w:firstRow="0" w:lastRow="0" w:firstColumn="0" w:lastColumn="0" w:oddVBand="0" w:evenVBand="0" w:oddHBand="1" w:evenHBand="0" w:firstRowFirstColumn="0" w:firstRowLastColumn="0" w:lastRowFirstColumn="0" w:lastRowLastColumn="0"/>
            </w:pPr>
            <w:r>
              <w:t>Production annuelle</w:t>
            </w:r>
          </w:p>
        </w:tc>
      </w:tr>
      <w:tr w:rsidR="00C458AE" w14:paraId="222E1699" w14:textId="77777777" w:rsidTr="00C458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14E85B52" w14:textId="77777777" w:rsidR="00C458AE" w:rsidRDefault="00C458AE" w:rsidP="00231BC1">
            <w:pPr>
              <w:jc w:val="center"/>
            </w:pPr>
            <w:r>
              <w:t>0</w:t>
            </w:r>
          </w:p>
        </w:tc>
        <w:tc>
          <w:tcPr>
            <w:tcW w:w="3067" w:type="dxa"/>
          </w:tcPr>
          <w:p w14:paraId="310415A2" w14:textId="77777777" w:rsidR="00C458AE" w:rsidRDefault="00C458AE" w:rsidP="00231BC1">
            <w:pPr>
              <w:jc w:val="center"/>
              <w:cnfStyle w:val="000000010000" w:firstRow="0" w:lastRow="0" w:firstColumn="0" w:lastColumn="0" w:oddVBand="0" w:evenVBand="0" w:oddHBand="0" w:evenHBand="1" w:firstRowFirstColumn="0" w:firstRowLastColumn="0" w:lastRowFirstColumn="0" w:lastRowLastColumn="0"/>
            </w:pPr>
            <w:r>
              <w:t>0 MW</w:t>
            </w:r>
          </w:p>
        </w:tc>
        <w:tc>
          <w:tcPr>
            <w:tcW w:w="3068" w:type="dxa"/>
          </w:tcPr>
          <w:p w14:paraId="04BEAE37" w14:textId="77777777" w:rsidR="00C458AE" w:rsidRDefault="00C458AE" w:rsidP="00231BC1">
            <w:pPr>
              <w:jc w:val="center"/>
              <w:cnfStyle w:val="000000010000" w:firstRow="0" w:lastRow="0" w:firstColumn="0" w:lastColumn="0" w:oddVBand="0" w:evenVBand="0" w:oddHBand="0" w:evenHBand="1" w:firstRowFirstColumn="0" w:firstRowLastColumn="0" w:lastRowFirstColumn="0" w:lastRowLastColumn="0"/>
            </w:pPr>
            <w:r>
              <w:t>0 MWh</w:t>
            </w:r>
          </w:p>
        </w:tc>
      </w:tr>
    </w:tbl>
    <w:p w14:paraId="673B3DE3" w14:textId="4FB5A19C" w:rsidR="00E41729" w:rsidRDefault="00E41729" w:rsidP="006C2C2E">
      <w:pPr>
        <w:rPr>
          <w:rFonts w:eastAsiaTheme="majorEastAsia"/>
        </w:rPr>
      </w:pPr>
    </w:p>
    <w:p w14:paraId="0605C1A1" w14:textId="77777777" w:rsidR="00E41729" w:rsidRDefault="00E41729">
      <w:pPr>
        <w:spacing w:after="200" w:line="276" w:lineRule="auto"/>
        <w:jc w:val="left"/>
        <w:rPr>
          <w:rFonts w:eastAsiaTheme="majorEastAsia"/>
        </w:rPr>
      </w:pPr>
      <w:r>
        <w:rPr>
          <w:rFonts w:eastAsiaTheme="majorEastAsia"/>
        </w:rPr>
        <w:br w:type="page"/>
      </w:r>
    </w:p>
    <w:p w14:paraId="5BBD135A" w14:textId="37FB86D2" w:rsidR="00B65C39" w:rsidRPr="00DD5776" w:rsidRDefault="00B65C39" w:rsidP="00B65C39">
      <w:pPr>
        <w:pStyle w:val="Titre3"/>
        <w:ind w:left="2818"/>
      </w:pPr>
      <w:bookmarkStart w:id="76" w:name="_Toc129784736"/>
      <w:r w:rsidRPr="00DD5776">
        <w:lastRenderedPageBreak/>
        <w:t>Les pompes à chaleur aérothermiques</w:t>
      </w:r>
      <w:bookmarkEnd w:id="76"/>
    </w:p>
    <w:p w14:paraId="61C26109" w14:textId="77777777" w:rsidR="00B65C39" w:rsidRPr="00C458AE" w:rsidRDefault="00B65C39" w:rsidP="00B65C39">
      <w:pPr>
        <w:rPr>
          <w:b/>
          <w:bCs/>
          <w:smallCaps/>
          <w:color w:val="EC694A" w:themeColor="accent2"/>
          <w:spacing w:val="5"/>
          <w:u w:val="single"/>
        </w:rPr>
      </w:pPr>
      <w:r w:rsidRPr="00712E4F">
        <w:rPr>
          <w:rStyle w:val="Rfrenceintense"/>
        </w:rPr>
        <w:t>Technologie</w:t>
      </w:r>
    </w:p>
    <w:p w14:paraId="78854A2E" w14:textId="1A020B6A" w:rsidR="00CF3D62" w:rsidRDefault="00CF3D62" w:rsidP="00E41729">
      <w:pPr>
        <w:shd w:val="clear" w:color="auto" w:fill="FFFFFF"/>
        <w:spacing w:after="0"/>
        <w:textAlignment w:val="baseline"/>
      </w:pPr>
      <w:r w:rsidRPr="00CF3D62">
        <w:t>La pompe à chaleur (ou PAC) est un équipement de chauffage thermodynamique à énergie renouvelable. Elle prélève des calories dans une source renouvelable tels que l’air extérieur, l’eau (de nappe ou de mer), la terre, pour la transférer à plus haute température vers un autre milieu (un bâtiment, un local, un logement…). La PAC est une technologie devenue incontournable avec une marge de progression technique et de diffusion importante : elle permet l’exploitation de différents gisements d’énergie renouvelable grâce à ses nombreuses déclinaisons.</w:t>
      </w:r>
    </w:p>
    <w:p w14:paraId="5B7CB354" w14:textId="77777777" w:rsidR="00CF3D62" w:rsidRPr="00CF3D62" w:rsidRDefault="00CF3D62" w:rsidP="00E41729">
      <w:pPr>
        <w:shd w:val="clear" w:color="auto" w:fill="FFFFFF"/>
        <w:spacing w:after="0"/>
        <w:textAlignment w:val="baseline"/>
      </w:pPr>
    </w:p>
    <w:p w14:paraId="4ED154C3" w14:textId="7AFC910F" w:rsidR="00E41729" w:rsidRDefault="00CF3D62" w:rsidP="00E41729">
      <w:pPr>
        <w:shd w:val="clear" w:color="auto" w:fill="FFFFFF"/>
        <w:spacing w:after="0"/>
        <w:textAlignment w:val="baseline"/>
      </w:pPr>
      <w:r w:rsidRPr="00CF3D62">
        <w:t xml:space="preserve">Pour faire fonctionner la « pompe », une source d’énergie est nécessaire. Aussi les PAC consomment-elles de l’électricité ou du gaz. Selon la technologie, la source renouvelable ou les usages de la chaleur, le coefficient de performance de la PAC est plus ou moins élevé. Plus le coefficient de performance est élevé, plus la quantité d’énergie nécessaire pour faire fonctionner la pompe est faible par rapport à la quantité d’énergie renouvelable prélevée au milieu. </w:t>
      </w:r>
      <w:r w:rsidR="0026083C" w:rsidRPr="00CF3D62">
        <w:t>L’ADEME privilégie les PAC dont le coefficient de performance est le plus élevé.</w:t>
      </w:r>
    </w:p>
    <w:p w14:paraId="51BC7FE8" w14:textId="77777777" w:rsidR="00E41729" w:rsidRDefault="00E41729" w:rsidP="00E41729">
      <w:pPr>
        <w:shd w:val="clear" w:color="auto" w:fill="FFFFFF"/>
        <w:spacing w:after="0"/>
        <w:textAlignment w:val="baseline"/>
      </w:pPr>
    </w:p>
    <w:p w14:paraId="22AD2770" w14:textId="77777777" w:rsidR="00E41729" w:rsidRPr="00E41729" w:rsidRDefault="00E41729" w:rsidP="00E41729">
      <w:pPr>
        <w:shd w:val="clear" w:color="auto" w:fill="FFFFFF"/>
        <w:spacing w:after="0"/>
        <w:textAlignment w:val="baseline"/>
        <w:rPr>
          <w:u w:val="single"/>
        </w:rPr>
      </w:pPr>
      <w:r w:rsidRPr="00E41729">
        <w:rPr>
          <w:u w:val="single"/>
        </w:rPr>
        <w:t xml:space="preserve">Point de vigilance : </w:t>
      </w:r>
    </w:p>
    <w:p w14:paraId="2C7BCFAE" w14:textId="2452AF62" w:rsidR="00CF3D62" w:rsidRPr="00CF3D62" w:rsidRDefault="00E41729" w:rsidP="00E41729">
      <w:pPr>
        <w:shd w:val="clear" w:color="auto" w:fill="FFFFFF"/>
        <w:spacing w:after="0"/>
        <w:textAlignment w:val="baseline"/>
      </w:pPr>
      <w:r>
        <w:t xml:space="preserve">Cette énergie n’est pas considérée par l’ADEME comme une énergie renouvelable au même titre que les autres </w:t>
      </w:r>
      <w:proofErr w:type="spellStart"/>
      <w:r>
        <w:t>EnR</w:t>
      </w:r>
      <w:proofErr w:type="spellEnd"/>
      <w:r>
        <w:t>. Cette technologie ne bénéficie donc pas d’aide</w:t>
      </w:r>
      <w:r w:rsidR="0026083C">
        <w:t xml:space="preserve"> financière</w:t>
      </w:r>
      <w:r>
        <w:t xml:space="preserve"> de la part de l’ADEME. </w:t>
      </w:r>
    </w:p>
    <w:p w14:paraId="20218E74" w14:textId="77777777" w:rsidR="00CF3D62" w:rsidRPr="00B65C39" w:rsidRDefault="00CF3D62" w:rsidP="00B65C39">
      <w:pPr>
        <w:rPr>
          <w:highlight w:val="yellow"/>
        </w:rPr>
      </w:pPr>
    </w:p>
    <w:p w14:paraId="2CC496D2" w14:textId="77777777" w:rsidR="00B65C39" w:rsidRPr="0026083C" w:rsidRDefault="00B65C39" w:rsidP="00B65C39">
      <w:pPr>
        <w:rPr>
          <w:b/>
          <w:bCs/>
          <w:smallCaps/>
          <w:color w:val="EC694A" w:themeColor="accent2"/>
          <w:spacing w:val="5"/>
          <w:u w:val="single"/>
        </w:rPr>
      </w:pPr>
      <w:r w:rsidRPr="0026083C">
        <w:rPr>
          <w:rStyle w:val="Rfrenceintense"/>
        </w:rPr>
        <w:t>Etat des lieux sur le territoire</w:t>
      </w:r>
    </w:p>
    <w:p w14:paraId="3E55F75B" w14:textId="446D790F" w:rsidR="00B65C39" w:rsidRPr="0026083C" w:rsidRDefault="00DE5920" w:rsidP="00B65C39">
      <w:r w:rsidRPr="0026083C">
        <w:t xml:space="preserve">Concernant la production de chaleur issue des PAC, </w:t>
      </w:r>
      <w:r w:rsidR="0026083C" w:rsidRPr="0026083C">
        <w:t>l’Observatoire d’Ile-de-France ne recense pas ces installations et ne fournit donc pas données sur cette technologie. L</w:t>
      </w:r>
      <w:r w:rsidR="00B65C39" w:rsidRPr="0026083C">
        <w:t>a CC de la Haute Vallée de Chevreuse ne possède pas d’installation recensée</w:t>
      </w:r>
      <w:r w:rsidR="0026083C" w:rsidRPr="0026083C">
        <w:t xml:space="preserve"> bien que certains logements ou bâtiments tertiaires puissent être équipés. </w:t>
      </w:r>
    </w:p>
    <w:p w14:paraId="02FF29F7" w14:textId="06FD2072" w:rsidR="00B65C39" w:rsidRPr="0026083C" w:rsidRDefault="00CF3D62" w:rsidP="00B65C39">
      <w:pPr>
        <w:pStyle w:val="Lgende"/>
        <w:keepNext/>
        <w:jc w:val="center"/>
      </w:pPr>
      <w:r w:rsidRPr="0026083C">
        <w:br/>
      </w:r>
      <w:r w:rsidR="00B65C39" w:rsidRPr="0026083C">
        <w:t xml:space="preserve">Tableau 10 : </w:t>
      </w:r>
      <w:r w:rsidR="00E41729" w:rsidRPr="0026083C">
        <w:rPr>
          <w:rFonts w:cs="Calibri"/>
        </w:rPr>
        <w:t>Pompes à chaleur</w:t>
      </w:r>
      <w:r w:rsidR="00B65C39" w:rsidRPr="0026083C">
        <w:t xml:space="preserve"> - </w:t>
      </w:r>
      <w:r w:rsidR="00B65C39" w:rsidRPr="0026083C">
        <w:rPr>
          <w:rFonts w:cs="Calibri"/>
        </w:rPr>
        <w:t>É</w:t>
      </w:r>
      <w:r w:rsidR="00B65C39" w:rsidRPr="0026083C">
        <w:t>tat des lieux</w:t>
      </w:r>
    </w:p>
    <w:tbl>
      <w:tblPr>
        <w:tblStyle w:val="AKAtab1"/>
        <w:tblW w:w="0" w:type="auto"/>
        <w:tblLook w:val="04A0" w:firstRow="1" w:lastRow="0" w:firstColumn="1" w:lastColumn="0" w:noHBand="0" w:noVBand="1"/>
      </w:tblPr>
      <w:tblGrid>
        <w:gridCol w:w="3067"/>
        <w:gridCol w:w="3067"/>
        <w:gridCol w:w="3068"/>
      </w:tblGrid>
      <w:tr w:rsidR="00B65C39" w:rsidRPr="0026083C" w14:paraId="2FED4ECD" w14:textId="77777777" w:rsidTr="00132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2" w:type="dxa"/>
            <w:gridSpan w:val="3"/>
          </w:tcPr>
          <w:p w14:paraId="11F99C49" w14:textId="2225E6E0" w:rsidR="00B65C39" w:rsidRPr="0026083C" w:rsidRDefault="00B65C39" w:rsidP="0013257C">
            <w:pPr>
              <w:rPr>
                <w:b w:val="0"/>
                <w:bCs/>
                <w:color w:val="FFFFFF" w:themeColor="background1"/>
              </w:rPr>
            </w:pPr>
            <w:r w:rsidRPr="0026083C">
              <w:rPr>
                <w:b w:val="0"/>
                <w:bCs/>
                <w:color w:val="FFFFFF" w:themeColor="background1"/>
              </w:rPr>
              <w:t xml:space="preserve">Filière : </w:t>
            </w:r>
            <w:r w:rsidR="00E41729" w:rsidRPr="0026083C">
              <w:rPr>
                <w:rFonts w:cs="Calibri"/>
                <w:b w:val="0"/>
                <w:bCs/>
                <w:color w:val="FFFFFF" w:themeColor="background1"/>
              </w:rPr>
              <w:t>Pompes à chaleur</w:t>
            </w:r>
          </w:p>
        </w:tc>
      </w:tr>
      <w:tr w:rsidR="00B65C39" w:rsidRPr="0026083C" w14:paraId="2E18EF4E" w14:textId="77777777" w:rsidTr="001325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tcPr>
          <w:p w14:paraId="3DF4D462" w14:textId="77777777" w:rsidR="00B65C39" w:rsidRPr="0026083C" w:rsidRDefault="00B65C39" w:rsidP="0013257C">
            <w:pPr>
              <w:jc w:val="center"/>
            </w:pPr>
            <w:r w:rsidRPr="0026083C">
              <w:t>Nombre d’installations</w:t>
            </w:r>
          </w:p>
        </w:tc>
        <w:tc>
          <w:tcPr>
            <w:tcW w:w="3067" w:type="dxa"/>
            <w:shd w:val="clear" w:color="auto" w:fill="FBE0DA" w:themeFill="accent2" w:themeFillTint="33"/>
          </w:tcPr>
          <w:p w14:paraId="74847922" w14:textId="77777777" w:rsidR="00B65C39" w:rsidRPr="0026083C" w:rsidRDefault="00B65C39" w:rsidP="0013257C">
            <w:pPr>
              <w:jc w:val="center"/>
              <w:cnfStyle w:val="000000100000" w:firstRow="0" w:lastRow="0" w:firstColumn="0" w:lastColumn="0" w:oddVBand="0" w:evenVBand="0" w:oddHBand="1" w:evenHBand="0" w:firstRowFirstColumn="0" w:firstRowLastColumn="0" w:lastRowFirstColumn="0" w:lastRowLastColumn="0"/>
            </w:pPr>
            <w:r w:rsidRPr="0026083C">
              <w:t>Puissance totale</w:t>
            </w:r>
          </w:p>
        </w:tc>
        <w:tc>
          <w:tcPr>
            <w:tcW w:w="3068" w:type="dxa"/>
            <w:shd w:val="clear" w:color="auto" w:fill="FBE0DA" w:themeFill="accent2" w:themeFillTint="33"/>
          </w:tcPr>
          <w:p w14:paraId="1927FCC6" w14:textId="77777777" w:rsidR="00B65C39" w:rsidRPr="0026083C" w:rsidRDefault="00B65C39" w:rsidP="0013257C">
            <w:pPr>
              <w:jc w:val="center"/>
              <w:cnfStyle w:val="000000100000" w:firstRow="0" w:lastRow="0" w:firstColumn="0" w:lastColumn="0" w:oddVBand="0" w:evenVBand="0" w:oddHBand="1" w:evenHBand="0" w:firstRowFirstColumn="0" w:firstRowLastColumn="0" w:lastRowFirstColumn="0" w:lastRowLastColumn="0"/>
            </w:pPr>
            <w:r w:rsidRPr="0026083C">
              <w:t>Production annuelle</w:t>
            </w:r>
          </w:p>
        </w:tc>
      </w:tr>
      <w:tr w:rsidR="00B65C39" w14:paraId="030F15CC" w14:textId="77777777" w:rsidTr="001325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shd w:val="clear" w:color="auto" w:fill="auto"/>
          </w:tcPr>
          <w:p w14:paraId="0DA13FBB" w14:textId="77777777" w:rsidR="00B65C39" w:rsidRPr="0026083C" w:rsidRDefault="00B65C39" w:rsidP="0013257C">
            <w:pPr>
              <w:jc w:val="center"/>
            </w:pPr>
            <w:r w:rsidRPr="0026083C">
              <w:t>0</w:t>
            </w:r>
          </w:p>
        </w:tc>
        <w:tc>
          <w:tcPr>
            <w:tcW w:w="3067" w:type="dxa"/>
          </w:tcPr>
          <w:p w14:paraId="7E16ABD7" w14:textId="77777777" w:rsidR="00B65C39" w:rsidRPr="0026083C" w:rsidRDefault="00B65C39" w:rsidP="0013257C">
            <w:pPr>
              <w:jc w:val="center"/>
              <w:cnfStyle w:val="000000010000" w:firstRow="0" w:lastRow="0" w:firstColumn="0" w:lastColumn="0" w:oddVBand="0" w:evenVBand="0" w:oddHBand="0" w:evenHBand="1" w:firstRowFirstColumn="0" w:firstRowLastColumn="0" w:lastRowFirstColumn="0" w:lastRowLastColumn="0"/>
            </w:pPr>
            <w:r w:rsidRPr="0026083C">
              <w:t>0 MW</w:t>
            </w:r>
          </w:p>
        </w:tc>
        <w:tc>
          <w:tcPr>
            <w:tcW w:w="3068" w:type="dxa"/>
          </w:tcPr>
          <w:p w14:paraId="46CB5F2D" w14:textId="77777777" w:rsidR="00B65C39" w:rsidRDefault="00B65C39" w:rsidP="0013257C">
            <w:pPr>
              <w:jc w:val="center"/>
              <w:cnfStyle w:val="000000010000" w:firstRow="0" w:lastRow="0" w:firstColumn="0" w:lastColumn="0" w:oddVBand="0" w:evenVBand="0" w:oddHBand="0" w:evenHBand="1" w:firstRowFirstColumn="0" w:firstRowLastColumn="0" w:lastRowFirstColumn="0" w:lastRowLastColumn="0"/>
            </w:pPr>
            <w:r w:rsidRPr="0026083C">
              <w:t>0 MWh</w:t>
            </w:r>
          </w:p>
        </w:tc>
      </w:tr>
    </w:tbl>
    <w:p w14:paraId="74C3DB6B" w14:textId="77777777" w:rsidR="00B65C39" w:rsidRDefault="00B65C39" w:rsidP="00B65C39">
      <w:pPr>
        <w:rPr>
          <w:rFonts w:eastAsiaTheme="majorEastAsia"/>
        </w:rPr>
      </w:pPr>
    </w:p>
    <w:p w14:paraId="207B57AC" w14:textId="617E0458" w:rsidR="0090476F" w:rsidRDefault="0090476F" w:rsidP="00B65C39">
      <w:pPr>
        <w:pStyle w:val="Titre2"/>
        <w:numPr>
          <w:ilvl w:val="0"/>
          <w:numId w:val="0"/>
        </w:numPr>
        <w:ind w:left="1996"/>
      </w:pPr>
      <w:r>
        <w:br w:type="page"/>
      </w:r>
    </w:p>
    <w:p w14:paraId="6443120C" w14:textId="3E658C6A" w:rsidR="005C6E23" w:rsidRDefault="005C6E23" w:rsidP="0090476F">
      <w:pPr>
        <w:pStyle w:val="Titre2"/>
        <w:ind w:left="1996" w:hanging="578"/>
      </w:pPr>
      <w:bookmarkStart w:id="77" w:name="_Toc129784737"/>
      <w:r>
        <w:lastRenderedPageBreak/>
        <w:t>Bilan des productions d’énergie renouvelable existantes</w:t>
      </w:r>
      <w:bookmarkEnd w:id="77"/>
    </w:p>
    <w:p w14:paraId="5B2D7026" w14:textId="03D94D9E" w:rsidR="005C6E23" w:rsidRDefault="004A2CD4" w:rsidP="005C6E23">
      <w:r>
        <w:t>L</w:t>
      </w:r>
      <w:r w:rsidR="005C6E23">
        <w:t xml:space="preserve">a production d’énergie renouvelable du territoire de la CC Haute Vallée de Chevreuse s’élève à </w:t>
      </w:r>
      <w:r w:rsidR="005C6E23">
        <w:br/>
      </w:r>
      <w:r>
        <w:rPr>
          <w:b/>
          <w:bCs/>
        </w:rPr>
        <w:t>23</w:t>
      </w:r>
      <w:r w:rsidR="005C6E23" w:rsidRPr="00460B7C">
        <w:rPr>
          <w:b/>
          <w:bCs/>
        </w:rPr>
        <w:t xml:space="preserve"> </w:t>
      </w:r>
      <w:proofErr w:type="gramStart"/>
      <w:r w:rsidR="005C6E23" w:rsidRPr="00460B7C">
        <w:rPr>
          <w:b/>
          <w:bCs/>
        </w:rPr>
        <w:t>GWh</w:t>
      </w:r>
      <w:proofErr w:type="gramEnd"/>
      <w:r w:rsidR="005C6E23" w:rsidRPr="00460B7C">
        <w:rPr>
          <w:b/>
          <w:bCs/>
        </w:rPr>
        <w:t xml:space="preserve"> pour l’année 2020</w:t>
      </w:r>
      <w:r w:rsidR="005C6E23">
        <w:t>. Elle se répartit actuellement ainsi :</w:t>
      </w:r>
    </w:p>
    <w:p w14:paraId="79344C0D" w14:textId="3397F608" w:rsidR="005C6E23" w:rsidRDefault="005C6E23" w:rsidP="005C6E23">
      <w:pPr>
        <w:keepNext/>
        <w:jc w:val="center"/>
      </w:pPr>
      <w:r w:rsidRPr="00012C35">
        <w:rPr>
          <w:noProof/>
        </w:rPr>
        <w:t xml:space="preserve"> </w:t>
      </w:r>
      <w:r w:rsidR="004A2CD4" w:rsidRPr="004A2CD4">
        <w:rPr>
          <w:noProof/>
        </w:rPr>
        <w:drawing>
          <wp:inline distT="0" distB="0" distL="0" distR="0" wp14:anchorId="67C65490" wp14:editId="0B6ED935">
            <wp:extent cx="3931285" cy="2827020"/>
            <wp:effectExtent l="0" t="0" r="12065" b="11430"/>
            <wp:docPr id="4" name="Graphique 4">
              <a:extLst xmlns:a="http://schemas.openxmlformats.org/drawingml/2006/main">
                <a:ext uri="{FF2B5EF4-FFF2-40B4-BE49-F238E27FC236}">
                  <a16:creationId xmlns:a16="http://schemas.microsoft.com/office/drawing/2014/main" id="{DC900981-23D5-CF33-FAF5-66BA0C5B85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6567E4A" w14:textId="1C08EB2A" w:rsidR="005C6E23" w:rsidRDefault="005C6E23" w:rsidP="00B12CF9">
      <w:pPr>
        <w:pStyle w:val="Lgende"/>
        <w:jc w:val="center"/>
      </w:pPr>
      <w:bookmarkStart w:id="78" w:name="_Toc126096831"/>
      <w:bookmarkStart w:id="79" w:name="_Toc129786569"/>
      <w:r>
        <w:t xml:space="preserve">Figure </w:t>
      </w:r>
      <w:r w:rsidR="00D56558">
        <w:fldChar w:fldCharType="begin"/>
      </w:r>
      <w:r w:rsidR="00D56558">
        <w:instrText xml:space="preserve"> SEQ Figure \* ARABIC </w:instrText>
      </w:r>
      <w:r w:rsidR="00D56558">
        <w:fldChar w:fldCharType="separate"/>
      </w:r>
      <w:r w:rsidR="00BA2D9B">
        <w:rPr>
          <w:noProof/>
        </w:rPr>
        <w:t>15</w:t>
      </w:r>
      <w:r w:rsidR="00D56558">
        <w:rPr>
          <w:noProof/>
        </w:rPr>
        <w:fldChar w:fldCharType="end"/>
      </w:r>
      <w:r>
        <w:t xml:space="preserve"> : Répartition de la production d'énergies renouvelables sur le territoire de la CC Haute Vallée de Chevreuse</w:t>
      </w:r>
      <w:bookmarkEnd w:id="78"/>
      <w:bookmarkEnd w:id="79"/>
    </w:p>
    <w:p w14:paraId="1F37C88F" w14:textId="42052397" w:rsidR="005C6E23" w:rsidRPr="00907BE7" w:rsidRDefault="005C6E23" w:rsidP="00907BE7">
      <w:pPr>
        <w:pStyle w:val="Lgende"/>
        <w:jc w:val="center"/>
        <w:rPr>
          <w:b w:val="0"/>
          <w:bCs w:val="0"/>
          <w:i/>
          <w:iCs/>
          <w:color w:val="auto"/>
        </w:rPr>
      </w:pPr>
      <w:r w:rsidRPr="00907BE7">
        <w:rPr>
          <w:b w:val="0"/>
          <w:bCs w:val="0"/>
          <w:i/>
          <w:iCs/>
          <w:color w:val="auto"/>
        </w:rPr>
        <w:t>Source : ENERGIF (ROSE Ile-de-France)</w:t>
      </w:r>
      <w:r w:rsidR="004220DC" w:rsidRPr="00907BE7">
        <w:rPr>
          <w:b w:val="0"/>
          <w:bCs w:val="0"/>
          <w:i/>
          <w:iCs/>
          <w:color w:val="auto"/>
        </w:rPr>
        <w:t>, 2020</w:t>
      </w:r>
    </w:p>
    <w:p w14:paraId="3A15CA1A" w14:textId="77777777" w:rsidR="005C6E23" w:rsidRDefault="005C6E23" w:rsidP="005C6E23"/>
    <w:p w14:paraId="5071E579" w14:textId="79DEBA2F" w:rsidR="005C6E23" w:rsidRDefault="000670BB" w:rsidP="005C6E23">
      <w:r>
        <w:t xml:space="preserve">La production de chaleur renouvelable à travers l’utilisation du </w:t>
      </w:r>
      <w:r w:rsidR="005C6E23">
        <w:t xml:space="preserve">bois-énergie représente la principale production d’énergie renouvelable avec </w:t>
      </w:r>
      <w:r>
        <w:t>près de 100</w:t>
      </w:r>
      <w:r w:rsidR="005C6E23">
        <w:t>% de la production</w:t>
      </w:r>
      <w:r>
        <w:t xml:space="preserve"> estimée sur le territoire. </w:t>
      </w:r>
      <w:r w:rsidR="005C6E23">
        <w:t xml:space="preserve">Le solaire photovoltaïque représente une part encore </w:t>
      </w:r>
      <w:r>
        <w:t>relativement</w:t>
      </w:r>
      <w:r w:rsidR="005C6E23">
        <w:t xml:space="preserve"> faible avec seulement </w:t>
      </w:r>
      <w:r>
        <w:t>0,1 GWh</w:t>
      </w:r>
      <w:r w:rsidR="005C6E23">
        <w:t xml:space="preserve"> de la production totale. </w:t>
      </w:r>
      <w:r>
        <w:br/>
      </w:r>
      <w:r w:rsidR="005C6E23">
        <w:t>La production d’énergie liée à la géothermie n’est pas connue et ne figure donc pas dans le graphique ci-dessus.</w:t>
      </w:r>
    </w:p>
    <w:p w14:paraId="3C7D24B4" w14:textId="77777777" w:rsidR="005C6E23" w:rsidRDefault="005C6E23" w:rsidP="005C6E23">
      <w:r>
        <w:t>A ce jour, il n’existe pas de réseau de chaleur recensé sur le territoire.</w:t>
      </w:r>
    </w:p>
    <w:p w14:paraId="2A310CF1" w14:textId="63B1BEC1" w:rsidR="005C6E23" w:rsidRDefault="005C6E23" w:rsidP="005C6E23">
      <w:pPr>
        <w:pStyle w:val="Style1"/>
      </w:pPr>
      <w:bookmarkStart w:id="80" w:name="_Toc129784738"/>
      <w:r>
        <w:t>Conclusion</w:t>
      </w:r>
      <w:r w:rsidR="00CC02E9">
        <w:t xml:space="preserve"> de l’état des lieux</w:t>
      </w:r>
      <w:bookmarkEnd w:id="80"/>
    </w:p>
    <w:p w14:paraId="75EAADE2" w14:textId="4B08C316" w:rsidR="005C6E23" w:rsidRDefault="005C6E23" w:rsidP="0090476F">
      <w:pPr>
        <w:pStyle w:val="Titre2"/>
        <w:ind w:left="1996" w:hanging="578"/>
      </w:pPr>
      <w:bookmarkStart w:id="81" w:name="_Toc129784739"/>
      <w:r>
        <w:t>Autonomie</w:t>
      </w:r>
      <w:bookmarkEnd w:id="81"/>
    </w:p>
    <w:p w14:paraId="10AD00FA" w14:textId="77777777" w:rsidR="005C6E23" w:rsidRDefault="005C6E23" w:rsidP="002708C8">
      <w:pPr>
        <w:pStyle w:val="Titre3"/>
        <w:ind w:left="2818"/>
      </w:pPr>
      <w:bookmarkStart w:id="82" w:name="_Toc129784740"/>
      <w:r>
        <w:t>Autonomie électrique</w:t>
      </w:r>
      <w:bookmarkEnd w:id="82"/>
    </w:p>
    <w:p w14:paraId="580B2666" w14:textId="77777777" w:rsidR="005C6E23" w:rsidRDefault="005C6E23" w:rsidP="005C6E23">
      <w:r>
        <w:t xml:space="preserve">La consommation d’électricité sur le territoire est de 114 </w:t>
      </w:r>
      <w:proofErr w:type="gramStart"/>
      <w:r>
        <w:t>GWh</w:t>
      </w:r>
      <w:proofErr w:type="gramEnd"/>
      <w:r>
        <w:t>.</w:t>
      </w:r>
    </w:p>
    <w:p w14:paraId="3ECCFE02" w14:textId="77777777" w:rsidR="005C6E23" w:rsidRDefault="005C6E23" w:rsidP="005C6E23">
      <w:r>
        <w:t>La production d’électricité renouvelable sur le territoire est de 0,1 GWh.</w:t>
      </w:r>
    </w:p>
    <w:p w14:paraId="0894248B" w14:textId="6B274072" w:rsidR="005C6E23" w:rsidRDefault="005C6E23" w:rsidP="005C6E23">
      <w:r>
        <w:t>Le territoire est donc actuellement autonome à moins de 0,1% en électricité.</w:t>
      </w:r>
    </w:p>
    <w:p w14:paraId="364AAB8F" w14:textId="77777777" w:rsidR="005C6E23" w:rsidRDefault="005C6E23" w:rsidP="002708C8">
      <w:pPr>
        <w:pStyle w:val="Titre3"/>
        <w:ind w:left="2818"/>
      </w:pPr>
      <w:bookmarkStart w:id="83" w:name="_Toc129784741"/>
      <w:r>
        <w:t>Autonomie en chaleur</w:t>
      </w:r>
      <w:bookmarkEnd w:id="83"/>
    </w:p>
    <w:p w14:paraId="69A4563A" w14:textId="77777777" w:rsidR="005C6E23" w:rsidRDefault="005C6E23" w:rsidP="005C6E23">
      <w:r>
        <w:t xml:space="preserve">La consommation de chaleur sur le territoire est de 298 </w:t>
      </w:r>
      <w:proofErr w:type="gramStart"/>
      <w:r>
        <w:t>GWh</w:t>
      </w:r>
      <w:proofErr w:type="gramEnd"/>
      <w:r>
        <w:t>.</w:t>
      </w:r>
    </w:p>
    <w:p w14:paraId="608CE1A2" w14:textId="37DBCF49" w:rsidR="005C6E23" w:rsidRDefault="005C6E23" w:rsidP="005C6E23">
      <w:r>
        <w:t xml:space="preserve">La production de chaleur renouvelable sur le territoire est de </w:t>
      </w:r>
      <w:r w:rsidR="000670BB">
        <w:t>23</w:t>
      </w:r>
      <w:r>
        <w:t xml:space="preserve"> </w:t>
      </w:r>
      <w:proofErr w:type="gramStart"/>
      <w:r>
        <w:t>GWh</w:t>
      </w:r>
      <w:proofErr w:type="gramEnd"/>
      <w:r>
        <w:t>.</w:t>
      </w:r>
    </w:p>
    <w:p w14:paraId="2E4DD0BC" w14:textId="1CE349AE" w:rsidR="005C6E23" w:rsidRDefault="005C6E23" w:rsidP="005C6E23">
      <w:r>
        <w:t xml:space="preserve">Le territoire est donc actuellement autonome </w:t>
      </w:r>
      <w:r w:rsidR="000670BB">
        <w:t xml:space="preserve">en chaleur </w:t>
      </w:r>
      <w:r>
        <w:t xml:space="preserve">à </w:t>
      </w:r>
      <w:r w:rsidR="000670BB">
        <w:t>hauteur de 8</w:t>
      </w:r>
      <w:r>
        <w:t>%.</w:t>
      </w:r>
    </w:p>
    <w:p w14:paraId="7A4D9310" w14:textId="77777777" w:rsidR="005C6E23" w:rsidRDefault="005C6E23" w:rsidP="002708C8">
      <w:pPr>
        <w:pStyle w:val="Titre3"/>
        <w:ind w:left="2818"/>
      </w:pPr>
      <w:bookmarkStart w:id="84" w:name="_Toc129784742"/>
      <w:r>
        <w:lastRenderedPageBreak/>
        <w:t>Autonomie globale</w:t>
      </w:r>
      <w:bookmarkEnd w:id="84"/>
    </w:p>
    <w:p w14:paraId="0D0FB3B1" w14:textId="77777777" w:rsidR="005C6E23" w:rsidRDefault="005C6E23" w:rsidP="005C6E23">
      <w:r>
        <w:t xml:space="preserve">La consommation totale d’énergie sur le territoire est de 412 </w:t>
      </w:r>
      <w:proofErr w:type="gramStart"/>
      <w:r>
        <w:t>GWh</w:t>
      </w:r>
      <w:proofErr w:type="gramEnd"/>
      <w:r>
        <w:t>.</w:t>
      </w:r>
    </w:p>
    <w:p w14:paraId="2E6D4FEA" w14:textId="7E681F89" w:rsidR="005C6E23" w:rsidRDefault="005C6E23" w:rsidP="005C6E23">
      <w:r>
        <w:t xml:space="preserve">La production totale d’énergie renouvelable sur le territoire est de </w:t>
      </w:r>
      <w:r w:rsidR="000670BB">
        <w:t>23</w:t>
      </w:r>
      <w:r>
        <w:t xml:space="preserve"> </w:t>
      </w:r>
      <w:proofErr w:type="gramStart"/>
      <w:r>
        <w:t>GWh</w:t>
      </w:r>
      <w:proofErr w:type="gramEnd"/>
      <w:r>
        <w:t>.</w:t>
      </w:r>
    </w:p>
    <w:p w14:paraId="329F89D8" w14:textId="59B8E756" w:rsidR="005C6E23" w:rsidRDefault="005C6E23" w:rsidP="005C6E23">
      <w:r>
        <w:t xml:space="preserve">Le territoire est donc actuellement autonome </w:t>
      </w:r>
      <w:r w:rsidR="000670BB">
        <w:t xml:space="preserve">en énergie </w:t>
      </w:r>
      <w:r>
        <w:t xml:space="preserve">en théorie à </w:t>
      </w:r>
      <w:r w:rsidR="000670BB">
        <w:t>hauteur de 5</w:t>
      </w:r>
      <w:r>
        <w:t>%.</w:t>
      </w:r>
    </w:p>
    <w:p w14:paraId="64EDD663" w14:textId="0163B53D" w:rsidR="005C6E23" w:rsidRDefault="005C6E23" w:rsidP="0090476F">
      <w:pPr>
        <w:pStyle w:val="Titre2"/>
        <w:ind w:left="1996" w:hanging="578"/>
      </w:pPr>
      <w:bookmarkStart w:id="85" w:name="_Toc129784743"/>
      <w:r>
        <w:t>Facture énergétique</w:t>
      </w:r>
      <w:bookmarkEnd w:id="85"/>
      <w:r>
        <w:t xml:space="preserve"> </w:t>
      </w:r>
    </w:p>
    <w:p w14:paraId="692C8D65" w14:textId="77777777" w:rsidR="005C6E23" w:rsidRPr="00CA12C5" w:rsidRDefault="005C6E23" w:rsidP="005C6E23">
      <w:pPr>
        <w:spacing w:after="160" w:line="259" w:lineRule="auto"/>
      </w:pPr>
      <w:r w:rsidRPr="00CA12C5">
        <w:t xml:space="preserve">La facture énergétique permet d’évaluer les flux financiers liés à l’énergie consommée sur le territoire d’étude. Ainsi, selon que les énergies consommées (gaz, pétrole, électricité) sont importées ou produites sur le territoire, il est possible d’estimer le parcours des flux monétaires engendrés. </w:t>
      </w:r>
    </w:p>
    <w:p w14:paraId="6D394A49" w14:textId="77777777" w:rsidR="005C6E23" w:rsidRPr="00CA12C5" w:rsidRDefault="005C6E23" w:rsidP="005C6E23">
      <w:pPr>
        <w:spacing w:after="160" w:line="259" w:lineRule="auto"/>
      </w:pPr>
      <w:r w:rsidRPr="00CA12C5">
        <w:t xml:space="preserve">Dans le cas d’énergies importées, on parle de flux sortants du territoire alors que dans le cas d’énergies renouvelables produites localement, certains de ces flux peuvent être réinjectés dans l’économie locale au profit de bénéficiaires locaux (collectivités, acteurs économiques évoluant dans le domaine des </w:t>
      </w:r>
      <w:proofErr w:type="spellStart"/>
      <w:r w:rsidRPr="00CA12C5">
        <w:t>EnR</w:t>
      </w:r>
      <w:proofErr w:type="spellEnd"/>
      <w:r w:rsidRPr="00CA12C5">
        <w:t xml:space="preserve">, etc.). Le calcul de la facture énergétique permet de mobiliser les acteurs grâce à la visualisation des flux financiers relatifs à l’achat d’énergie. </w:t>
      </w:r>
    </w:p>
    <w:p w14:paraId="49E3BBB8" w14:textId="77777777" w:rsidR="005C6E23" w:rsidRDefault="005C6E23" w:rsidP="005C6E23">
      <w:pPr>
        <w:spacing w:after="160" w:line="259" w:lineRule="auto"/>
      </w:pPr>
      <w:r w:rsidRPr="00CA12C5">
        <w:t xml:space="preserve">Cet exercice met nettement en exergue la fuite annuelle de richesse du territoire. A contrario, elle montre les bénéfices d’une production locale d’énergie renouvelable et donc l’intérêt de mener une politique de transition énergétique. A minima, ces bénéfices peuvent se matérialiser par des retombées fiscales pour les collectivités du territoire voire par des retombées économiques pour les acteurs locaux lorsqu’ils prennent part au financement du projet.  </w:t>
      </w:r>
    </w:p>
    <w:p w14:paraId="22DD98B2" w14:textId="33483951" w:rsidR="005C6E23" w:rsidRDefault="005C6E23" w:rsidP="005C6E23">
      <w:r w:rsidRPr="00983D7C">
        <w:t xml:space="preserve">La facture énergétique du territoire est calculée à l’aide de l’outil </w:t>
      </w:r>
      <w:proofErr w:type="spellStart"/>
      <w:r w:rsidRPr="00983D7C">
        <w:t>FacETe</w:t>
      </w:r>
      <w:proofErr w:type="spellEnd"/>
      <w:r w:rsidRPr="00983D7C">
        <w:t>.</w:t>
      </w:r>
      <w:r>
        <w:t xml:space="preserve"> </w:t>
      </w:r>
      <w:r w:rsidRPr="00ED5B03">
        <w:rPr>
          <w:b/>
          <w:bCs/>
        </w:rPr>
        <w:t>Elle s’élève à 44 millions d’euros</w:t>
      </w:r>
      <w:r w:rsidRPr="00983D7C">
        <w:t xml:space="preserve">, soit </w:t>
      </w:r>
      <w:r w:rsidRPr="00ED5B03">
        <w:rPr>
          <w:b/>
          <w:bCs/>
        </w:rPr>
        <w:t>1 7</w:t>
      </w:r>
      <w:r w:rsidR="00AF5002">
        <w:rPr>
          <w:b/>
          <w:bCs/>
        </w:rPr>
        <w:t>48</w:t>
      </w:r>
      <w:r w:rsidRPr="00ED5B03">
        <w:rPr>
          <w:b/>
          <w:bCs/>
        </w:rPr>
        <w:t xml:space="preserve"> € par habitant par an</w:t>
      </w:r>
      <w:r>
        <w:t xml:space="preserve"> (tous secteurs confondus) ou 1 440€ par habitant et par an si l’on ne prend en compte que le résidentiel et le transport de personnes</w:t>
      </w:r>
      <w:r w:rsidRPr="00983D7C">
        <w:t>. Elle correspond à la consommation d’énergie telle que le fioul, les carburants routiers, le gaz, l’électricité, …</w:t>
      </w:r>
      <w:r>
        <w:t xml:space="preserve"> </w:t>
      </w:r>
    </w:p>
    <w:p w14:paraId="35D98074" w14:textId="554CCDFB" w:rsidR="005C6E23" w:rsidRPr="00983D7C" w:rsidRDefault="005C6E23" w:rsidP="005C6E23">
      <w:r>
        <w:t xml:space="preserve">Le coût de l’énergie consommée sur le territoire de la CC Haute Vallée de Chevreuse correspond </w:t>
      </w:r>
      <w:r w:rsidRPr="00ED5B03">
        <w:rPr>
          <w:b/>
          <w:bCs/>
        </w:rPr>
        <w:t>à 3% du PIB local.</w:t>
      </w:r>
      <w:r>
        <w:t xml:space="preserve"> </w:t>
      </w:r>
    </w:p>
    <w:p w14:paraId="4A837CE5" w14:textId="169B3B29" w:rsidR="005C6E23" w:rsidRPr="003B0B14" w:rsidRDefault="005C6E23" w:rsidP="005C6E23">
      <w:pPr>
        <w:rPr>
          <w:highlight w:val="yellow"/>
        </w:rPr>
      </w:pPr>
      <w:r w:rsidRPr="00983D7C">
        <w:t xml:space="preserve">Sur cette facture, </w:t>
      </w:r>
      <w:r w:rsidR="00AB75D5">
        <w:rPr>
          <w:b/>
          <w:bCs/>
        </w:rPr>
        <w:t>5</w:t>
      </w:r>
      <w:r w:rsidRPr="00ED5B03">
        <w:rPr>
          <w:b/>
          <w:bCs/>
        </w:rPr>
        <w:t>% de l’énergie est produite localement</w:t>
      </w:r>
      <w:r w:rsidRPr="00983D7C">
        <w:t xml:space="preserve">, comme l’indique le paragraphe précédent sur l’autonomie </w:t>
      </w:r>
      <w:r w:rsidRPr="002E75C8">
        <w:t>énergétique du territoire. Cela représente</w:t>
      </w:r>
      <w:r w:rsidR="00AB75D5">
        <w:t>rait</w:t>
      </w:r>
      <w:r w:rsidRPr="002E75C8">
        <w:t xml:space="preserve"> </w:t>
      </w:r>
      <w:r w:rsidRPr="00ED5B03">
        <w:rPr>
          <w:b/>
          <w:bCs/>
        </w:rPr>
        <w:t xml:space="preserve">environ </w:t>
      </w:r>
      <w:r w:rsidR="00AB75D5">
        <w:rPr>
          <w:b/>
          <w:bCs/>
        </w:rPr>
        <w:t xml:space="preserve">2 millions d’euros </w:t>
      </w:r>
      <w:r w:rsidRPr="00ED5B03">
        <w:rPr>
          <w:b/>
          <w:bCs/>
        </w:rPr>
        <w:t>susceptibles d’être réinjectés sur le territoire</w:t>
      </w:r>
      <w:r w:rsidRPr="002E75C8">
        <w:t xml:space="preserve">. </w:t>
      </w:r>
    </w:p>
    <w:p w14:paraId="315B2E57" w14:textId="2005F00F" w:rsidR="005C6E23" w:rsidRDefault="005C6E23" w:rsidP="005C6E23">
      <w:r w:rsidRPr="00ED5B03">
        <w:rPr>
          <w:b/>
          <w:bCs/>
        </w:rPr>
        <w:t>La facture nette du territoire s’élève à près de 4</w:t>
      </w:r>
      <w:r w:rsidR="00AB75D5">
        <w:rPr>
          <w:b/>
          <w:bCs/>
        </w:rPr>
        <w:t>2</w:t>
      </w:r>
      <w:r w:rsidRPr="00ED5B03">
        <w:rPr>
          <w:b/>
          <w:bCs/>
        </w:rPr>
        <w:t xml:space="preserve"> millions d’euros.</w:t>
      </w:r>
      <w:r w:rsidRPr="00ED5B03">
        <w:t xml:space="preserve"> Cette somme est une dépense sortante du territoire. Les objectifs de réduction des consommations liés à la rénovation des logements par exemple, permettront de réduire cette facture énergétique. En parallèle, le développement des énergies renouvelables permettra de limiter les importations d’énergie en s’approvisionnant localement, et donc d’augmenter les retombées économiques locales. Cela permettra aussi de se rendre plus indépendant de la hausse du coût des énergies fossiles.</w:t>
      </w:r>
      <w:r>
        <w:t xml:space="preserve"> </w:t>
      </w:r>
    </w:p>
    <w:p w14:paraId="2D23AED7" w14:textId="2C250383" w:rsidR="005C6E23" w:rsidRDefault="00907BE7" w:rsidP="005C6E23">
      <w:pPr>
        <w:jc w:val="center"/>
      </w:pPr>
      <w:r w:rsidRPr="00907BE7">
        <w:rPr>
          <w:noProof/>
        </w:rPr>
        <w:lastRenderedPageBreak/>
        <w:drawing>
          <wp:inline distT="0" distB="0" distL="0" distR="0" wp14:anchorId="23048B17" wp14:editId="5927B8BA">
            <wp:extent cx="6480810" cy="2320925"/>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810" cy="2320925"/>
                    </a:xfrm>
                    <a:prstGeom prst="rect">
                      <a:avLst/>
                    </a:prstGeom>
                  </pic:spPr>
                </pic:pic>
              </a:graphicData>
            </a:graphic>
          </wp:inline>
        </w:drawing>
      </w:r>
    </w:p>
    <w:p w14:paraId="4CF7373C" w14:textId="715088AD" w:rsidR="005C6E23" w:rsidRDefault="005C6E23" w:rsidP="005C6E23">
      <w:pPr>
        <w:pStyle w:val="Lgende"/>
        <w:jc w:val="center"/>
      </w:pPr>
      <w:bookmarkStart w:id="86" w:name="_Toc126096832"/>
      <w:bookmarkStart w:id="87" w:name="_Toc129786570"/>
      <w:r>
        <w:t xml:space="preserve">Figure </w:t>
      </w:r>
      <w:r w:rsidR="00D56558">
        <w:fldChar w:fldCharType="begin"/>
      </w:r>
      <w:r w:rsidR="00D56558">
        <w:instrText xml:space="preserve"> SEQ Figure \* ARABIC </w:instrText>
      </w:r>
      <w:r w:rsidR="00D56558">
        <w:fldChar w:fldCharType="separate"/>
      </w:r>
      <w:r w:rsidR="00BA2D9B">
        <w:rPr>
          <w:noProof/>
        </w:rPr>
        <w:t>16</w:t>
      </w:r>
      <w:r w:rsidR="00D56558">
        <w:rPr>
          <w:noProof/>
        </w:rPr>
        <w:fldChar w:fldCharType="end"/>
      </w:r>
      <w:r>
        <w:t xml:space="preserve"> : Facture énergétique du territoire</w:t>
      </w:r>
      <w:bookmarkEnd w:id="86"/>
      <w:bookmarkEnd w:id="87"/>
    </w:p>
    <w:p w14:paraId="5D939263" w14:textId="1947C96F" w:rsidR="005C6E23" w:rsidRDefault="00907BE7" w:rsidP="00907BE7">
      <w:pPr>
        <w:pStyle w:val="Lgende"/>
        <w:jc w:val="center"/>
        <w:rPr>
          <w:b w:val="0"/>
          <w:bCs w:val="0"/>
          <w:i/>
          <w:iCs/>
          <w:color w:val="auto"/>
        </w:rPr>
      </w:pPr>
      <w:r w:rsidRPr="00907BE7">
        <w:rPr>
          <w:b w:val="0"/>
          <w:bCs w:val="0"/>
          <w:i/>
          <w:iCs/>
          <w:color w:val="auto"/>
        </w:rPr>
        <w:t xml:space="preserve">Source : Outil </w:t>
      </w:r>
      <w:proofErr w:type="spellStart"/>
      <w:r w:rsidRPr="00907BE7">
        <w:rPr>
          <w:b w:val="0"/>
          <w:bCs w:val="0"/>
          <w:i/>
          <w:iCs/>
          <w:color w:val="auto"/>
        </w:rPr>
        <w:t>FacETe</w:t>
      </w:r>
      <w:proofErr w:type="spellEnd"/>
      <w:r w:rsidRPr="00907BE7">
        <w:rPr>
          <w:b w:val="0"/>
          <w:bCs w:val="0"/>
          <w:i/>
          <w:iCs/>
          <w:color w:val="auto"/>
        </w:rPr>
        <w:t xml:space="preserve">, </w:t>
      </w:r>
      <w:proofErr w:type="spellStart"/>
      <w:r w:rsidRPr="00907BE7">
        <w:rPr>
          <w:b w:val="0"/>
          <w:bCs w:val="0"/>
          <w:i/>
          <w:iCs/>
          <w:color w:val="auto"/>
        </w:rPr>
        <w:t>Auxilia</w:t>
      </w:r>
      <w:proofErr w:type="spellEnd"/>
    </w:p>
    <w:p w14:paraId="72076596" w14:textId="77777777" w:rsidR="00900098" w:rsidRPr="00900098" w:rsidRDefault="00900098" w:rsidP="00900098"/>
    <w:p w14:paraId="57D39BC3" w14:textId="27A49DC9" w:rsidR="005C6E23" w:rsidRPr="005C6E23" w:rsidRDefault="005C6E23" w:rsidP="0090476F">
      <w:pPr>
        <w:pStyle w:val="Titre2"/>
        <w:ind w:left="1996" w:hanging="578"/>
      </w:pPr>
      <w:bookmarkStart w:id="88" w:name="_Toc129784744"/>
      <w:r w:rsidRPr="005C6E23">
        <w:t>Emploi, part d’</w:t>
      </w:r>
      <w:proofErr w:type="spellStart"/>
      <w:r w:rsidRPr="005C6E23">
        <w:t>EnR&amp;R</w:t>
      </w:r>
      <w:proofErr w:type="spellEnd"/>
      <w:r w:rsidRPr="005C6E23">
        <w:t xml:space="preserve"> et GES évités sur le territoire</w:t>
      </w:r>
      <w:bookmarkEnd w:id="88"/>
    </w:p>
    <w:p w14:paraId="40C3B8C3" w14:textId="77777777" w:rsidR="005C6E23" w:rsidRDefault="005C6E23" w:rsidP="002708C8">
      <w:pPr>
        <w:pStyle w:val="Titre3"/>
        <w:ind w:left="2818"/>
      </w:pPr>
      <w:bookmarkStart w:id="89" w:name="_Toc129784745"/>
      <w:r>
        <w:t>Estimation des emplois générés</w:t>
      </w:r>
      <w:bookmarkEnd w:id="89"/>
    </w:p>
    <w:p w14:paraId="590C21F8" w14:textId="7145F8F0" w:rsidR="005C6E23" w:rsidRDefault="005C6E23" w:rsidP="005C6E23">
      <w:r>
        <w:t>Le tableau suivant présente la couverture d’ENR&amp;R sur la CC Haute Vallée de Chevreuse et l’estimation des emplois créés par filière</w:t>
      </w:r>
      <w:r>
        <w:rPr>
          <w:rStyle w:val="Appelnotedebasdep"/>
        </w:rPr>
        <w:footnoteReference w:id="1"/>
      </w:r>
      <w:r>
        <w:t>.</w:t>
      </w:r>
      <w:r w:rsidRPr="009771F1">
        <w:t xml:space="preserve"> </w:t>
      </w:r>
    </w:p>
    <w:p w14:paraId="417FFD56" w14:textId="1ED742B2" w:rsidR="005C6E23" w:rsidRDefault="005C6E23" w:rsidP="00AB75D5">
      <w:pPr>
        <w:pStyle w:val="Lgende"/>
        <w:keepNext/>
        <w:ind w:left="360"/>
        <w:jc w:val="center"/>
      </w:pPr>
      <w:bookmarkStart w:id="90" w:name="_Toc498616572"/>
      <w:r>
        <w:t xml:space="preserve">Tableau 11 : Estimation d’emplois et couverture des </w:t>
      </w:r>
      <w:proofErr w:type="spellStart"/>
      <w:r>
        <w:t>EnR&amp;R</w:t>
      </w:r>
      <w:proofErr w:type="spellEnd"/>
      <w:r>
        <w:t xml:space="preserve"> sur </w:t>
      </w:r>
      <w:bookmarkEnd w:id="90"/>
      <w:r>
        <w:t>l</w:t>
      </w:r>
      <w:r w:rsidR="002B2BF7">
        <w:t>a CC Haute Vallée de Chevreuse</w:t>
      </w:r>
    </w:p>
    <w:tbl>
      <w:tblPr>
        <w:tblStyle w:val="AKAtab1"/>
        <w:tblpPr w:leftFromText="141" w:rightFromText="141" w:vertAnchor="text" w:horzAnchor="margin" w:tblpXSpec="center" w:tblpY="4"/>
        <w:tblW w:w="9058" w:type="dxa"/>
        <w:tblLook w:val="04A0" w:firstRow="1" w:lastRow="0" w:firstColumn="1" w:lastColumn="0" w:noHBand="0" w:noVBand="1"/>
      </w:tblPr>
      <w:tblGrid>
        <w:gridCol w:w="1411"/>
        <w:gridCol w:w="3201"/>
        <w:gridCol w:w="4446"/>
      </w:tblGrid>
      <w:tr w:rsidR="005C6E23" w:rsidRPr="00666F03" w14:paraId="7915EE88" w14:textId="77777777" w:rsidTr="005C6E23">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4612" w:type="dxa"/>
            <w:gridSpan w:val="2"/>
            <w:noWrap/>
            <w:hideMark/>
          </w:tcPr>
          <w:p w14:paraId="6626A8B4" w14:textId="77777777" w:rsidR="005C6E23" w:rsidRPr="005C6E23" w:rsidRDefault="005C6E23" w:rsidP="00231BC1">
            <w:pPr>
              <w:jc w:val="center"/>
              <w:rPr>
                <w:rFonts w:eastAsia="Times New Roman" w:cs="Calibri"/>
                <w:bCs/>
                <w:color w:val="FFFFFF" w:themeColor="background1"/>
              </w:rPr>
            </w:pPr>
            <w:r w:rsidRPr="005C6E23">
              <w:rPr>
                <w:rFonts w:eastAsia="Times New Roman" w:cs="Calibri"/>
                <w:bCs/>
                <w:color w:val="FFFFFF" w:themeColor="background1"/>
              </w:rPr>
              <w:t>Consommation d’énergie de la CCHVC</w:t>
            </w:r>
          </w:p>
        </w:tc>
        <w:tc>
          <w:tcPr>
            <w:tcW w:w="4446" w:type="dxa"/>
            <w:noWrap/>
            <w:hideMark/>
          </w:tcPr>
          <w:p w14:paraId="7422E0C5" w14:textId="77777777" w:rsidR="005C6E23" w:rsidRPr="005C6E23" w:rsidRDefault="005C6E23" w:rsidP="00231BC1">
            <w:pPr>
              <w:jc w:val="right"/>
              <w:cnfStyle w:val="100000000000" w:firstRow="1" w:lastRow="0" w:firstColumn="0" w:lastColumn="0" w:oddVBand="0" w:evenVBand="0" w:oddHBand="0" w:evenHBand="0" w:firstRowFirstColumn="0" w:firstRowLastColumn="0" w:lastRowFirstColumn="0" w:lastRowLastColumn="0"/>
              <w:rPr>
                <w:rFonts w:eastAsia="Times New Roman" w:cs="Calibri"/>
                <w:bCs/>
                <w:color w:val="FFFFFF" w:themeColor="background1"/>
              </w:rPr>
            </w:pPr>
            <w:r w:rsidRPr="005C6E23">
              <w:rPr>
                <w:rFonts w:eastAsia="Times New Roman" w:cs="Calibri"/>
                <w:bCs/>
                <w:color w:val="FFFFFF" w:themeColor="background1"/>
              </w:rPr>
              <w:t xml:space="preserve">412 </w:t>
            </w:r>
            <w:proofErr w:type="gramStart"/>
            <w:r w:rsidRPr="005C6E23">
              <w:rPr>
                <w:rFonts w:eastAsia="Times New Roman" w:cs="Calibri"/>
                <w:bCs/>
                <w:color w:val="FFFFFF" w:themeColor="background1"/>
              </w:rPr>
              <w:t>GWh</w:t>
            </w:r>
            <w:proofErr w:type="gramEnd"/>
            <w:r w:rsidRPr="005C6E23">
              <w:rPr>
                <w:bCs/>
                <w:color w:val="FFFFFF" w:themeColor="background1"/>
              </w:rPr>
              <w:t xml:space="preserve"> (Source : ROSE)</w:t>
            </w:r>
          </w:p>
        </w:tc>
      </w:tr>
      <w:tr w:rsidR="005C6E23" w:rsidRPr="00666F03" w14:paraId="6E5F280A" w14:textId="77777777" w:rsidTr="005C6E2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4612" w:type="dxa"/>
            <w:gridSpan w:val="2"/>
            <w:shd w:val="clear" w:color="auto" w:fill="E98A6B" w:themeFill="accent1" w:themeFillTint="99"/>
            <w:noWrap/>
            <w:hideMark/>
          </w:tcPr>
          <w:p w14:paraId="596CD91B" w14:textId="77777777" w:rsidR="005C6E23" w:rsidRPr="005C6E23" w:rsidRDefault="005C6E23" w:rsidP="00231BC1">
            <w:pPr>
              <w:jc w:val="center"/>
              <w:rPr>
                <w:rFonts w:eastAsia="Times New Roman" w:cs="Calibri"/>
                <w:b/>
                <w:bCs/>
                <w:color w:val="FFFFFF" w:themeColor="background1"/>
              </w:rPr>
            </w:pPr>
            <w:r w:rsidRPr="005C6E23">
              <w:rPr>
                <w:rFonts w:eastAsia="Times New Roman" w:cs="Calibri"/>
                <w:b/>
                <w:bCs/>
                <w:color w:val="FFFFFF" w:themeColor="background1"/>
              </w:rPr>
              <w:t xml:space="preserve">Production </w:t>
            </w:r>
            <w:proofErr w:type="spellStart"/>
            <w:r w:rsidRPr="005C6E23">
              <w:rPr>
                <w:rFonts w:eastAsia="Times New Roman" w:cs="Calibri"/>
                <w:b/>
                <w:bCs/>
                <w:color w:val="FFFFFF" w:themeColor="background1"/>
              </w:rPr>
              <w:t>EnR&amp;R</w:t>
            </w:r>
            <w:proofErr w:type="spellEnd"/>
          </w:p>
        </w:tc>
        <w:tc>
          <w:tcPr>
            <w:tcW w:w="4446" w:type="dxa"/>
            <w:shd w:val="clear" w:color="auto" w:fill="E98A6B" w:themeFill="accent1" w:themeFillTint="99"/>
            <w:noWrap/>
            <w:hideMark/>
          </w:tcPr>
          <w:p w14:paraId="3FD1CAD5" w14:textId="77777777" w:rsidR="005C6E23" w:rsidRPr="005C6E23" w:rsidRDefault="005C6E23" w:rsidP="00231BC1">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FFFFFF" w:themeColor="background1"/>
              </w:rPr>
            </w:pPr>
            <w:r w:rsidRPr="005C6E23">
              <w:rPr>
                <w:rFonts w:eastAsia="Times New Roman" w:cs="Calibri"/>
                <w:b/>
                <w:bCs/>
                <w:color w:val="FFFFFF" w:themeColor="background1"/>
              </w:rPr>
              <w:t>1 GWh</w:t>
            </w:r>
          </w:p>
        </w:tc>
      </w:tr>
      <w:tr w:rsidR="005C6E23" w:rsidRPr="00666F03" w14:paraId="6C1F11CB" w14:textId="77777777" w:rsidTr="005C6E23">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4612" w:type="dxa"/>
            <w:gridSpan w:val="2"/>
            <w:shd w:val="clear" w:color="auto" w:fill="E98A6B" w:themeFill="accent1" w:themeFillTint="99"/>
            <w:noWrap/>
            <w:hideMark/>
          </w:tcPr>
          <w:p w14:paraId="538FFF98" w14:textId="77777777" w:rsidR="005C6E23" w:rsidRPr="005C6E23" w:rsidRDefault="005C6E23" w:rsidP="00231BC1">
            <w:pPr>
              <w:jc w:val="center"/>
              <w:rPr>
                <w:rFonts w:eastAsia="Times New Roman" w:cs="Calibri"/>
                <w:b/>
                <w:bCs/>
                <w:color w:val="FFFFFF" w:themeColor="background1"/>
              </w:rPr>
            </w:pPr>
            <w:r w:rsidRPr="005C6E23">
              <w:rPr>
                <w:rFonts w:eastAsia="Times New Roman" w:cs="Calibri"/>
                <w:b/>
                <w:bCs/>
                <w:color w:val="FFFFFF" w:themeColor="background1"/>
              </w:rPr>
              <w:t>Part de la consommation</w:t>
            </w:r>
          </w:p>
        </w:tc>
        <w:tc>
          <w:tcPr>
            <w:tcW w:w="4446" w:type="dxa"/>
            <w:shd w:val="clear" w:color="auto" w:fill="E98A6B" w:themeFill="accent1" w:themeFillTint="99"/>
            <w:noWrap/>
            <w:hideMark/>
          </w:tcPr>
          <w:p w14:paraId="564D3CB7" w14:textId="77777777" w:rsidR="005C6E23" w:rsidRPr="005C6E23" w:rsidRDefault="005C6E23" w:rsidP="00231BC1">
            <w:pPr>
              <w:jc w:val="right"/>
              <w:cnfStyle w:val="000000010000" w:firstRow="0" w:lastRow="0" w:firstColumn="0" w:lastColumn="0" w:oddVBand="0" w:evenVBand="0" w:oddHBand="0" w:evenHBand="1" w:firstRowFirstColumn="0" w:firstRowLastColumn="0" w:lastRowFirstColumn="0" w:lastRowLastColumn="0"/>
              <w:rPr>
                <w:rFonts w:eastAsia="Times New Roman" w:cs="Calibri"/>
                <w:b/>
                <w:bCs/>
                <w:color w:val="FFFFFF" w:themeColor="background1"/>
              </w:rPr>
            </w:pPr>
            <w:r w:rsidRPr="005C6E23">
              <w:rPr>
                <w:rFonts w:eastAsia="Times New Roman" w:cs="Calibri"/>
                <w:b/>
                <w:bCs/>
                <w:color w:val="FFFFFF" w:themeColor="background1"/>
              </w:rPr>
              <w:t>0,2%</w:t>
            </w:r>
          </w:p>
        </w:tc>
      </w:tr>
      <w:tr w:rsidR="005C6E23" w:rsidRPr="00666F03" w14:paraId="4934A7E5" w14:textId="77777777" w:rsidTr="005C6E2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411" w:type="dxa"/>
            <w:vMerge w:val="restart"/>
            <w:hideMark/>
          </w:tcPr>
          <w:p w14:paraId="7EFA865D" w14:textId="77777777" w:rsidR="005C6E23" w:rsidRPr="00666F03" w:rsidRDefault="005C6E23" w:rsidP="00231BC1">
            <w:pPr>
              <w:jc w:val="center"/>
              <w:rPr>
                <w:rFonts w:eastAsia="Times New Roman" w:cs="Calibri"/>
                <w:color w:val="000000"/>
              </w:rPr>
            </w:pPr>
            <w:r>
              <w:rPr>
                <w:rFonts w:eastAsia="Times New Roman" w:cs="Calibri"/>
                <w:color w:val="000000"/>
              </w:rPr>
              <w:t>Estimation des e</w:t>
            </w:r>
            <w:r w:rsidRPr="00666F03">
              <w:rPr>
                <w:rFonts w:eastAsia="Times New Roman" w:cs="Calibri"/>
                <w:color w:val="000000"/>
              </w:rPr>
              <w:t>mplois générés</w:t>
            </w:r>
          </w:p>
        </w:tc>
        <w:tc>
          <w:tcPr>
            <w:tcW w:w="3201" w:type="dxa"/>
            <w:noWrap/>
            <w:hideMark/>
          </w:tcPr>
          <w:p w14:paraId="6C019418" w14:textId="77777777" w:rsidR="005C6E23" w:rsidRPr="00666F03" w:rsidRDefault="005C6E23" w:rsidP="00231BC1">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66F03">
              <w:rPr>
                <w:rFonts w:eastAsia="Times New Roman" w:cs="Calibri"/>
                <w:color w:val="000000"/>
              </w:rPr>
              <w:t xml:space="preserve">Bois </w:t>
            </w:r>
            <w:r>
              <w:rPr>
                <w:rFonts w:eastAsia="Times New Roman" w:cs="Calibri"/>
                <w:color w:val="000000"/>
              </w:rPr>
              <w:t>énergie</w:t>
            </w:r>
          </w:p>
        </w:tc>
        <w:tc>
          <w:tcPr>
            <w:tcW w:w="4446" w:type="dxa"/>
            <w:noWrap/>
            <w:hideMark/>
          </w:tcPr>
          <w:p w14:paraId="139B55BB" w14:textId="77777777" w:rsidR="005C6E23" w:rsidRPr="00666F03" w:rsidRDefault="005C6E23"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eastAsia="Times New Roman" w:cs="Calibri"/>
                <w:color w:val="000000"/>
              </w:rPr>
              <w:t>7</w:t>
            </w:r>
          </w:p>
        </w:tc>
      </w:tr>
      <w:tr w:rsidR="005C6E23" w:rsidRPr="00666F03" w14:paraId="111E0BD8" w14:textId="77777777" w:rsidTr="005C6E23">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411" w:type="dxa"/>
            <w:vMerge/>
            <w:hideMark/>
          </w:tcPr>
          <w:p w14:paraId="0419E88B" w14:textId="77777777" w:rsidR="005C6E23" w:rsidRPr="00666F03" w:rsidRDefault="005C6E23" w:rsidP="00231BC1">
            <w:pPr>
              <w:jc w:val="left"/>
              <w:rPr>
                <w:rFonts w:eastAsia="Times New Roman" w:cs="Calibri"/>
                <w:color w:val="000000"/>
              </w:rPr>
            </w:pPr>
          </w:p>
        </w:tc>
        <w:tc>
          <w:tcPr>
            <w:tcW w:w="3201" w:type="dxa"/>
            <w:noWrap/>
            <w:hideMark/>
          </w:tcPr>
          <w:p w14:paraId="70FAC2A2" w14:textId="77777777" w:rsidR="005C6E23" w:rsidRPr="00666F03" w:rsidRDefault="005C6E23" w:rsidP="00231BC1">
            <w:pPr>
              <w:jc w:val="left"/>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666F03">
              <w:rPr>
                <w:rFonts w:eastAsia="Times New Roman" w:cs="Calibri"/>
                <w:color w:val="000000"/>
              </w:rPr>
              <w:t>Géothermie</w:t>
            </w:r>
          </w:p>
        </w:tc>
        <w:tc>
          <w:tcPr>
            <w:tcW w:w="4446" w:type="dxa"/>
            <w:noWrap/>
            <w:hideMark/>
          </w:tcPr>
          <w:p w14:paraId="5F09AC26" w14:textId="77777777" w:rsidR="005C6E23" w:rsidRPr="00666F03" w:rsidRDefault="005C6E23"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eastAsia="Times New Roman" w:cs="Calibri"/>
                <w:color w:val="000000"/>
              </w:rPr>
              <w:t>1</w:t>
            </w:r>
          </w:p>
        </w:tc>
      </w:tr>
      <w:tr w:rsidR="005C6E23" w:rsidRPr="00666F03" w14:paraId="613B0C11" w14:textId="77777777" w:rsidTr="005C6E2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411" w:type="dxa"/>
            <w:vMerge/>
            <w:hideMark/>
          </w:tcPr>
          <w:p w14:paraId="48B90F5F" w14:textId="77777777" w:rsidR="005C6E23" w:rsidRPr="00666F03" w:rsidRDefault="005C6E23" w:rsidP="00231BC1">
            <w:pPr>
              <w:jc w:val="left"/>
              <w:rPr>
                <w:rFonts w:eastAsia="Times New Roman" w:cs="Calibri"/>
                <w:color w:val="000000"/>
              </w:rPr>
            </w:pPr>
          </w:p>
        </w:tc>
        <w:tc>
          <w:tcPr>
            <w:tcW w:w="3201" w:type="dxa"/>
            <w:noWrap/>
            <w:hideMark/>
          </w:tcPr>
          <w:p w14:paraId="7E8F884C" w14:textId="77777777" w:rsidR="005C6E23" w:rsidRPr="00666F03" w:rsidRDefault="005C6E23" w:rsidP="00231BC1">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66F03">
              <w:rPr>
                <w:rFonts w:eastAsia="Times New Roman" w:cs="Calibri"/>
                <w:color w:val="000000"/>
              </w:rPr>
              <w:t>PV</w:t>
            </w:r>
          </w:p>
        </w:tc>
        <w:tc>
          <w:tcPr>
            <w:tcW w:w="4446" w:type="dxa"/>
            <w:noWrap/>
            <w:hideMark/>
          </w:tcPr>
          <w:p w14:paraId="636CD52D" w14:textId="77777777" w:rsidR="005C6E23" w:rsidRPr="00666F03" w:rsidRDefault="005C6E23"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eastAsia="Times New Roman" w:cs="Calibri"/>
                <w:color w:val="000000"/>
              </w:rPr>
              <w:t>2</w:t>
            </w:r>
          </w:p>
        </w:tc>
      </w:tr>
      <w:tr w:rsidR="005C6E23" w:rsidRPr="00666F03" w14:paraId="00100FE0" w14:textId="77777777" w:rsidTr="005C6E23">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411" w:type="dxa"/>
            <w:vMerge/>
            <w:hideMark/>
          </w:tcPr>
          <w:p w14:paraId="314AD785" w14:textId="77777777" w:rsidR="005C6E23" w:rsidRPr="00666F03" w:rsidRDefault="005C6E23" w:rsidP="00231BC1">
            <w:pPr>
              <w:jc w:val="left"/>
              <w:rPr>
                <w:rFonts w:eastAsia="Times New Roman" w:cs="Calibri"/>
                <w:color w:val="000000"/>
              </w:rPr>
            </w:pPr>
          </w:p>
        </w:tc>
        <w:tc>
          <w:tcPr>
            <w:tcW w:w="3201" w:type="dxa"/>
            <w:noWrap/>
            <w:hideMark/>
          </w:tcPr>
          <w:p w14:paraId="1F3AE003" w14:textId="77777777" w:rsidR="005C6E23" w:rsidRPr="00666F03" w:rsidRDefault="005C6E23" w:rsidP="00231BC1">
            <w:pPr>
              <w:jc w:val="left"/>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666F03">
              <w:rPr>
                <w:rFonts w:eastAsia="Times New Roman" w:cs="Calibri"/>
                <w:color w:val="000000"/>
              </w:rPr>
              <w:t>Solaire thermique</w:t>
            </w:r>
          </w:p>
        </w:tc>
        <w:tc>
          <w:tcPr>
            <w:tcW w:w="4446" w:type="dxa"/>
            <w:noWrap/>
            <w:hideMark/>
          </w:tcPr>
          <w:p w14:paraId="30B08CA3" w14:textId="77777777" w:rsidR="005C6E23" w:rsidRPr="00666F03" w:rsidRDefault="005C6E23"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eastAsia="Times New Roman" w:cs="Calibri"/>
                <w:color w:val="000000"/>
              </w:rPr>
              <w:t>1</w:t>
            </w:r>
          </w:p>
        </w:tc>
      </w:tr>
      <w:tr w:rsidR="005C6E23" w:rsidRPr="00666F03" w14:paraId="45901127" w14:textId="77777777" w:rsidTr="005C6E2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411" w:type="dxa"/>
            <w:vMerge/>
            <w:hideMark/>
          </w:tcPr>
          <w:p w14:paraId="033DC2DF" w14:textId="77777777" w:rsidR="005C6E23" w:rsidRPr="00666F03" w:rsidRDefault="005C6E23" w:rsidP="00231BC1">
            <w:pPr>
              <w:jc w:val="left"/>
              <w:rPr>
                <w:rFonts w:eastAsia="Times New Roman" w:cs="Calibri"/>
                <w:color w:val="000000"/>
              </w:rPr>
            </w:pPr>
          </w:p>
        </w:tc>
        <w:tc>
          <w:tcPr>
            <w:tcW w:w="3201" w:type="dxa"/>
            <w:noWrap/>
            <w:hideMark/>
          </w:tcPr>
          <w:p w14:paraId="736984DB" w14:textId="77777777" w:rsidR="005C6E23" w:rsidRPr="00666F03" w:rsidRDefault="005C6E23" w:rsidP="00231BC1">
            <w:pPr>
              <w:jc w:val="lef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66F03">
              <w:rPr>
                <w:rFonts w:eastAsia="Times New Roman" w:cs="Calibri"/>
                <w:color w:val="000000"/>
              </w:rPr>
              <w:t>PAC</w:t>
            </w:r>
          </w:p>
        </w:tc>
        <w:tc>
          <w:tcPr>
            <w:tcW w:w="4446" w:type="dxa"/>
            <w:noWrap/>
            <w:hideMark/>
          </w:tcPr>
          <w:p w14:paraId="321AB49F" w14:textId="77777777" w:rsidR="005C6E23" w:rsidRPr="00666F03" w:rsidRDefault="005C6E23"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eastAsia="Times New Roman" w:cs="Calibri"/>
                <w:color w:val="000000"/>
              </w:rPr>
              <w:t>7</w:t>
            </w:r>
          </w:p>
        </w:tc>
      </w:tr>
      <w:tr w:rsidR="005C6E23" w:rsidRPr="00666F03" w14:paraId="2A829736" w14:textId="77777777" w:rsidTr="005C6E23">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411" w:type="dxa"/>
            <w:vMerge/>
            <w:hideMark/>
          </w:tcPr>
          <w:p w14:paraId="42EED365" w14:textId="77777777" w:rsidR="005C6E23" w:rsidRPr="00666F03" w:rsidRDefault="005C6E23" w:rsidP="00231BC1">
            <w:pPr>
              <w:jc w:val="left"/>
              <w:rPr>
                <w:rFonts w:eastAsia="Times New Roman" w:cs="Calibri"/>
                <w:color w:val="000000"/>
              </w:rPr>
            </w:pPr>
          </w:p>
        </w:tc>
        <w:tc>
          <w:tcPr>
            <w:tcW w:w="3201" w:type="dxa"/>
            <w:noWrap/>
            <w:hideMark/>
          </w:tcPr>
          <w:p w14:paraId="5F309571" w14:textId="77777777" w:rsidR="005C6E23" w:rsidRPr="00666F03" w:rsidRDefault="005C6E23" w:rsidP="00231BC1">
            <w:pPr>
              <w:jc w:val="left"/>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666F03">
              <w:rPr>
                <w:rFonts w:eastAsia="Times New Roman" w:cs="Calibri"/>
                <w:b/>
                <w:bCs/>
                <w:color w:val="000000"/>
              </w:rPr>
              <w:t>TOTAL</w:t>
            </w:r>
          </w:p>
        </w:tc>
        <w:tc>
          <w:tcPr>
            <w:tcW w:w="4446" w:type="dxa"/>
            <w:noWrap/>
            <w:hideMark/>
          </w:tcPr>
          <w:p w14:paraId="65E20264" w14:textId="77777777" w:rsidR="005C6E23" w:rsidRPr="00666F03" w:rsidRDefault="005C6E23"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Pr>
                <w:rFonts w:eastAsia="Times New Roman" w:cs="Calibri"/>
                <w:b/>
                <w:bCs/>
                <w:color w:val="000000"/>
              </w:rPr>
              <w:t>18</w:t>
            </w:r>
          </w:p>
        </w:tc>
      </w:tr>
    </w:tbl>
    <w:p w14:paraId="6EEFC722" w14:textId="77777777" w:rsidR="005C6E23" w:rsidRPr="00D97581" w:rsidRDefault="005C6E23" w:rsidP="005C6E23">
      <w:pPr>
        <w:rPr>
          <w:highlight w:val="yellow"/>
        </w:rPr>
      </w:pPr>
    </w:p>
    <w:p w14:paraId="7FB75F5B" w14:textId="77777777" w:rsidR="005C6E23" w:rsidRPr="00D97581" w:rsidRDefault="005C6E23" w:rsidP="005C6E23">
      <w:pPr>
        <w:spacing w:after="160" w:line="259" w:lineRule="auto"/>
        <w:jc w:val="left"/>
        <w:rPr>
          <w:highlight w:val="yellow"/>
        </w:rPr>
      </w:pPr>
    </w:p>
    <w:p w14:paraId="38D21793" w14:textId="77777777" w:rsidR="005C6E23" w:rsidRPr="00D97581" w:rsidRDefault="005C6E23" w:rsidP="005C6E23">
      <w:pPr>
        <w:spacing w:after="160" w:line="259" w:lineRule="auto"/>
        <w:jc w:val="center"/>
        <w:rPr>
          <w:highlight w:val="yellow"/>
        </w:rPr>
      </w:pPr>
      <w:r>
        <w:rPr>
          <w:noProof/>
        </w:rPr>
        <w:lastRenderedPageBreak/>
        <w:drawing>
          <wp:inline distT="0" distB="0" distL="0" distR="0" wp14:anchorId="2B20EB49" wp14:editId="6FCC30A9">
            <wp:extent cx="4632960" cy="2407920"/>
            <wp:effectExtent l="0" t="0" r="15240" b="11430"/>
            <wp:docPr id="7176" name="Graphique 7176">
              <a:extLst xmlns:a="http://schemas.openxmlformats.org/drawingml/2006/main">
                <a:ext uri="{FF2B5EF4-FFF2-40B4-BE49-F238E27FC236}">
                  <a16:creationId xmlns:a16="http://schemas.microsoft.com/office/drawing/2014/main" id="{438B3CAB-0236-D828-8DFD-684969C13C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ED278A5" w14:textId="08F7CE32" w:rsidR="00907BE7" w:rsidRDefault="005C6E23" w:rsidP="005C6E23">
      <w:pPr>
        <w:pStyle w:val="Lgende"/>
        <w:jc w:val="center"/>
      </w:pPr>
      <w:bookmarkStart w:id="91" w:name="_Toc498616587"/>
      <w:bookmarkStart w:id="92" w:name="_Toc126096833"/>
      <w:bookmarkStart w:id="93" w:name="_Toc129786571"/>
      <w:r>
        <w:t xml:space="preserve">Figure </w:t>
      </w:r>
      <w:r w:rsidR="00D56558">
        <w:fldChar w:fldCharType="begin"/>
      </w:r>
      <w:r w:rsidR="00D56558">
        <w:instrText xml:space="preserve"> SEQ Figure \* ARABIC </w:instrText>
      </w:r>
      <w:r w:rsidR="00D56558">
        <w:fldChar w:fldCharType="separate"/>
      </w:r>
      <w:r w:rsidR="00BA2D9B">
        <w:rPr>
          <w:noProof/>
        </w:rPr>
        <w:t>17</w:t>
      </w:r>
      <w:r w:rsidR="00D56558">
        <w:rPr>
          <w:noProof/>
        </w:rPr>
        <w:fldChar w:fldCharType="end"/>
      </w:r>
      <w:r>
        <w:t xml:space="preserve"> : Répartition des créations d'emploi par filière d'</w:t>
      </w:r>
      <w:proofErr w:type="spellStart"/>
      <w:r>
        <w:t>EnR&amp;R</w:t>
      </w:r>
      <w:bookmarkEnd w:id="91"/>
      <w:bookmarkEnd w:id="92"/>
      <w:bookmarkEnd w:id="93"/>
      <w:proofErr w:type="spellEnd"/>
    </w:p>
    <w:p w14:paraId="6EDF436F" w14:textId="31F60F04" w:rsidR="005C6E23" w:rsidRPr="00907BE7" w:rsidRDefault="00907BE7" w:rsidP="005C6E23">
      <w:pPr>
        <w:pStyle w:val="Lgende"/>
        <w:jc w:val="center"/>
        <w:rPr>
          <w:sz w:val="14"/>
          <w:szCs w:val="14"/>
        </w:rPr>
      </w:pPr>
      <w:r w:rsidRPr="00907BE7">
        <w:rPr>
          <w:b w:val="0"/>
          <w:bCs w:val="0"/>
          <w:i/>
          <w:iCs/>
          <w:color w:val="auto"/>
        </w:rPr>
        <w:t>Source : ADEME, Rapport Marchés et emplois liés à l’efficacité énergétique et aux énergies renouvelables, 2019</w:t>
      </w:r>
    </w:p>
    <w:p w14:paraId="062ADBC9" w14:textId="77777777" w:rsidR="005C6E23" w:rsidRDefault="005C6E23" w:rsidP="005C6E23">
      <w:pPr>
        <w:spacing w:after="160" w:line="259" w:lineRule="auto"/>
        <w:jc w:val="left"/>
        <w:rPr>
          <w:highlight w:val="yellow"/>
        </w:rPr>
      </w:pPr>
    </w:p>
    <w:p w14:paraId="456F0685" w14:textId="77777777" w:rsidR="005C6E23" w:rsidRDefault="005C6E23" w:rsidP="002708C8">
      <w:pPr>
        <w:pStyle w:val="Titre3"/>
        <w:ind w:left="2818"/>
      </w:pPr>
      <w:bookmarkStart w:id="94" w:name="_Toc129784746"/>
      <w:r>
        <w:t>Gaz à effet de serre évités</w:t>
      </w:r>
      <w:bookmarkEnd w:id="94"/>
      <w:r>
        <w:t xml:space="preserve"> </w:t>
      </w:r>
    </w:p>
    <w:p w14:paraId="49D207DE" w14:textId="45E60C34" w:rsidR="005C6E23" w:rsidRPr="005C6E23" w:rsidRDefault="005C6E23" w:rsidP="005C6E23">
      <w:pPr>
        <w:keepNext/>
      </w:pPr>
      <w:r>
        <w:t xml:space="preserve">Le tableau suivant montre les GES évités pour la production </w:t>
      </w:r>
      <w:proofErr w:type="spellStart"/>
      <w:r>
        <w:t>EnR&amp;R</w:t>
      </w:r>
      <w:proofErr w:type="spellEnd"/>
      <w:r>
        <w:t xml:space="preserve"> de la CC Haute Vallée de Chevreuse (calculs disponibles en annexe)</w:t>
      </w:r>
      <w:r w:rsidR="00193B56">
        <w:t>.</w:t>
      </w:r>
    </w:p>
    <w:p w14:paraId="19849EED" w14:textId="749C6271" w:rsidR="005C6E23" w:rsidRDefault="005C6E23" w:rsidP="00907BE7">
      <w:pPr>
        <w:pStyle w:val="Lgende"/>
        <w:keepNext/>
        <w:jc w:val="center"/>
      </w:pPr>
      <w:bookmarkStart w:id="95" w:name="_Toc498616573"/>
      <w:r>
        <w:t xml:space="preserve">Tableau 12 : Répartition des GES évités par filière </w:t>
      </w:r>
      <w:bookmarkEnd w:id="95"/>
      <w:r>
        <w:t xml:space="preserve">de production </w:t>
      </w:r>
      <w:proofErr w:type="spellStart"/>
      <w:r>
        <w:t>EnR</w:t>
      </w:r>
      <w:proofErr w:type="spellEnd"/>
    </w:p>
    <w:tbl>
      <w:tblPr>
        <w:tblStyle w:val="AKAtab1"/>
        <w:tblW w:w="7513" w:type="dxa"/>
        <w:tblLook w:val="04A0" w:firstRow="1" w:lastRow="0" w:firstColumn="1" w:lastColumn="0" w:noHBand="0" w:noVBand="1"/>
      </w:tblPr>
      <w:tblGrid>
        <w:gridCol w:w="3544"/>
        <w:gridCol w:w="3969"/>
      </w:tblGrid>
      <w:tr w:rsidR="005C6E23" w:rsidRPr="009771F1" w14:paraId="794AAFC9" w14:textId="77777777" w:rsidTr="002B2BF7">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544" w:type="dxa"/>
            <w:noWrap/>
          </w:tcPr>
          <w:p w14:paraId="372D0674" w14:textId="77777777" w:rsidR="005C6E23" w:rsidRPr="00492B9E" w:rsidRDefault="005C6E23" w:rsidP="00231BC1">
            <w:pPr>
              <w:jc w:val="center"/>
              <w:rPr>
                <w:rFonts w:eastAsia="Times New Roman" w:cs="Calibri"/>
                <w:b w:val="0"/>
                <w:bCs/>
                <w:color w:val="FFFFFF" w:themeColor="background1"/>
              </w:rPr>
            </w:pPr>
            <w:r w:rsidRPr="00492B9E">
              <w:rPr>
                <w:rFonts w:eastAsia="Times New Roman" w:cs="Calibri"/>
                <w:b w:val="0"/>
                <w:bCs/>
                <w:color w:val="FFFFFF" w:themeColor="background1"/>
              </w:rPr>
              <w:t xml:space="preserve">Filière </w:t>
            </w:r>
            <w:proofErr w:type="spellStart"/>
            <w:r w:rsidRPr="00492B9E">
              <w:rPr>
                <w:rFonts w:eastAsia="Times New Roman" w:cs="Calibri"/>
                <w:b w:val="0"/>
                <w:bCs/>
                <w:color w:val="FFFFFF" w:themeColor="background1"/>
              </w:rPr>
              <w:t>EnR</w:t>
            </w:r>
            <w:proofErr w:type="spellEnd"/>
          </w:p>
        </w:tc>
        <w:tc>
          <w:tcPr>
            <w:tcW w:w="3969" w:type="dxa"/>
            <w:noWrap/>
          </w:tcPr>
          <w:p w14:paraId="555D59CB" w14:textId="77777777" w:rsidR="005C6E23" w:rsidRPr="00492B9E" w:rsidRDefault="005C6E23" w:rsidP="00231BC1">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FFFFFF" w:themeColor="background1"/>
              </w:rPr>
            </w:pPr>
            <w:r w:rsidRPr="00492B9E">
              <w:rPr>
                <w:rFonts w:eastAsia="Times New Roman" w:cs="Calibri"/>
                <w:b w:val="0"/>
                <w:bCs/>
                <w:color w:val="FFFFFF" w:themeColor="background1"/>
              </w:rPr>
              <w:t>GES évités</w:t>
            </w:r>
          </w:p>
        </w:tc>
      </w:tr>
      <w:tr w:rsidR="005C6E23" w:rsidRPr="009771F1" w14:paraId="1468F9C9" w14:textId="77777777" w:rsidTr="002B2BF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146B991" w14:textId="77777777" w:rsidR="005C6E23" w:rsidRPr="009771F1" w:rsidRDefault="005C6E23" w:rsidP="00231BC1">
            <w:pPr>
              <w:jc w:val="right"/>
              <w:rPr>
                <w:rFonts w:eastAsia="Times New Roman" w:cs="Calibri"/>
                <w:color w:val="000000"/>
              </w:rPr>
            </w:pPr>
            <w:r w:rsidRPr="009771F1">
              <w:rPr>
                <w:rFonts w:eastAsia="Times New Roman" w:cs="Calibri"/>
                <w:color w:val="000000"/>
              </w:rPr>
              <w:t>Bois énergie</w:t>
            </w:r>
          </w:p>
        </w:tc>
        <w:tc>
          <w:tcPr>
            <w:tcW w:w="3969" w:type="dxa"/>
            <w:noWrap/>
            <w:hideMark/>
          </w:tcPr>
          <w:p w14:paraId="5149B9C7" w14:textId="77777777" w:rsidR="005C6E23" w:rsidRPr="009771F1" w:rsidRDefault="005C6E23" w:rsidP="00231BC1">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eastAsia="Times New Roman" w:cs="Calibri"/>
                <w:color w:val="000000"/>
              </w:rPr>
              <w:t>173</w:t>
            </w:r>
            <w:r w:rsidRPr="009771F1">
              <w:rPr>
                <w:rFonts w:eastAsia="Times New Roman" w:cs="Calibri"/>
                <w:color w:val="000000"/>
              </w:rPr>
              <w:t xml:space="preserve"> tCO2</w:t>
            </w:r>
          </w:p>
        </w:tc>
      </w:tr>
      <w:tr w:rsidR="005C6E23" w:rsidRPr="009771F1" w14:paraId="103543FA" w14:textId="77777777" w:rsidTr="002B2BF7">
        <w:trPr>
          <w:cnfStyle w:val="000000010000" w:firstRow="0" w:lastRow="0" w:firstColumn="0" w:lastColumn="0" w:oddVBand="0" w:evenVBand="0" w:oddHBand="0" w:evenHBand="1"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A435C7A" w14:textId="77777777" w:rsidR="005C6E23" w:rsidRPr="009771F1" w:rsidRDefault="005C6E23" w:rsidP="00231BC1">
            <w:pPr>
              <w:jc w:val="right"/>
              <w:rPr>
                <w:rFonts w:eastAsia="Times New Roman" w:cs="Calibri"/>
                <w:color w:val="000000"/>
              </w:rPr>
            </w:pPr>
            <w:r w:rsidRPr="009771F1">
              <w:rPr>
                <w:rFonts w:eastAsia="Times New Roman" w:cs="Calibri"/>
                <w:color w:val="000000"/>
              </w:rPr>
              <w:t>Solaire photovoltaïque</w:t>
            </w:r>
          </w:p>
        </w:tc>
        <w:tc>
          <w:tcPr>
            <w:tcW w:w="3969" w:type="dxa"/>
            <w:noWrap/>
            <w:hideMark/>
          </w:tcPr>
          <w:p w14:paraId="253F8099" w14:textId="77777777" w:rsidR="005C6E23" w:rsidRPr="009771F1" w:rsidRDefault="005C6E23" w:rsidP="00231BC1">
            <w:pPr>
              <w:jc w:val="right"/>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eastAsia="Times New Roman" w:cs="Calibri"/>
                <w:color w:val="000000"/>
              </w:rPr>
              <w:t>9</w:t>
            </w:r>
            <w:r w:rsidRPr="009771F1">
              <w:rPr>
                <w:rFonts w:eastAsia="Times New Roman" w:cs="Calibri"/>
                <w:color w:val="000000"/>
              </w:rPr>
              <w:t xml:space="preserve"> tCO2</w:t>
            </w:r>
          </w:p>
        </w:tc>
      </w:tr>
      <w:tr w:rsidR="005C6E23" w:rsidRPr="009771F1" w14:paraId="1D519762" w14:textId="77777777" w:rsidTr="002B2BF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67D91DA" w14:textId="77777777" w:rsidR="005C6E23" w:rsidRPr="009771F1" w:rsidRDefault="005C6E23" w:rsidP="00231BC1">
            <w:pPr>
              <w:jc w:val="right"/>
              <w:rPr>
                <w:rFonts w:eastAsia="Times New Roman" w:cs="Calibri"/>
                <w:b/>
                <w:bCs/>
                <w:color w:val="000000"/>
              </w:rPr>
            </w:pPr>
            <w:r w:rsidRPr="009771F1">
              <w:rPr>
                <w:rFonts w:eastAsia="Times New Roman" w:cs="Calibri"/>
                <w:b/>
                <w:bCs/>
                <w:color w:val="000000"/>
              </w:rPr>
              <w:t>TOTAL</w:t>
            </w:r>
          </w:p>
        </w:tc>
        <w:tc>
          <w:tcPr>
            <w:tcW w:w="3969" w:type="dxa"/>
            <w:noWrap/>
            <w:hideMark/>
          </w:tcPr>
          <w:p w14:paraId="7A5155B2" w14:textId="77777777" w:rsidR="005C6E23" w:rsidRPr="009771F1" w:rsidRDefault="005C6E23" w:rsidP="00231BC1">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Pr>
                <w:rFonts w:eastAsia="Times New Roman" w:cs="Calibri"/>
                <w:b/>
                <w:bCs/>
                <w:color w:val="000000"/>
              </w:rPr>
              <w:t>182</w:t>
            </w:r>
            <w:r w:rsidRPr="009771F1">
              <w:rPr>
                <w:rFonts w:eastAsia="Times New Roman" w:cs="Calibri"/>
                <w:b/>
                <w:bCs/>
                <w:color w:val="000000"/>
              </w:rPr>
              <w:t xml:space="preserve"> tCO2</w:t>
            </w:r>
          </w:p>
        </w:tc>
      </w:tr>
    </w:tbl>
    <w:p w14:paraId="73718EEF" w14:textId="7D57F280" w:rsidR="00193B56" w:rsidRDefault="00193B56" w:rsidP="00193B56">
      <w:pPr>
        <w:keepNext/>
        <w:tabs>
          <w:tab w:val="center" w:pos="1014"/>
        </w:tabs>
        <w:jc w:val="left"/>
      </w:pPr>
      <w:r>
        <w:tab/>
      </w:r>
    </w:p>
    <w:p w14:paraId="258F3792" w14:textId="2E797D7E" w:rsidR="00193B56" w:rsidRDefault="00193B56" w:rsidP="00193B56">
      <w:pPr>
        <w:keepNext/>
        <w:tabs>
          <w:tab w:val="center" w:pos="1014"/>
        </w:tabs>
        <w:jc w:val="left"/>
      </w:pPr>
      <w:r>
        <w:rPr>
          <w:noProof/>
        </w:rPr>
        <w:drawing>
          <wp:anchor distT="0" distB="0" distL="114300" distR="114300" simplePos="0" relativeHeight="251687936" behindDoc="1" locked="0" layoutInCell="1" allowOverlap="1" wp14:anchorId="76C5661D" wp14:editId="250DED29">
            <wp:simplePos x="0" y="0"/>
            <wp:positionH relativeFrom="margin">
              <wp:align>center</wp:align>
            </wp:positionH>
            <wp:positionV relativeFrom="paragraph">
              <wp:posOffset>172720</wp:posOffset>
            </wp:positionV>
            <wp:extent cx="4572000" cy="2743200"/>
            <wp:effectExtent l="0" t="0" r="0" b="0"/>
            <wp:wrapTight wrapText="bothSides">
              <wp:wrapPolygon edited="0">
                <wp:start x="0" y="0"/>
                <wp:lineTo x="0" y="21450"/>
                <wp:lineTo x="21510" y="21450"/>
                <wp:lineTo x="21510" y="0"/>
                <wp:lineTo x="0" y="0"/>
              </wp:wrapPolygon>
            </wp:wrapTight>
            <wp:docPr id="7177" name="Graphique 7177">
              <a:extLst xmlns:a="http://schemas.openxmlformats.org/drawingml/2006/main">
                <a:ext uri="{FF2B5EF4-FFF2-40B4-BE49-F238E27FC236}">
                  <a16:creationId xmlns:a16="http://schemas.microsoft.com/office/drawing/2014/main" id="{8504A3A4-644F-636A-9266-ACA136B505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542927DA" w14:textId="502138EE" w:rsidR="002B2BF7" w:rsidRDefault="00193B56" w:rsidP="00193B56">
      <w:pPr>
        <w:keepNext/>
        <w:tabs>
          <w:tab w:val="center" w:pos="1014"/>
        </w:tabs>
        <w:jc w:val="left"/>
      </w:pPr>
      <w:r>
        <w:br w:type="textWrapping" w:clear="all"/>
      </w:r>
    </w:p>
    <w:p w14:paraId="41183683" w14:textId="4CF63866" w:rsidR="000F57CC" w:rsidRDefault="002B2BF7" w:rsidP="00193B56">
      <w:pPr>
        <w:pStyle w:val="Lgende"/>
        <w:jc w:val="center"/>
      </w:pPr>
      <w:bookmarkStart w:id="96" w:name="_Toc129786572"/>
      <w:r>
        <w:t xml:space="preserve">Figure </w:t>
      </w:r>
      <w:r w:rsidR="00D56558">
        <w:fldChar w:fldCharType="begin"/>
      </w:r>
      <w:r w:rsidR="00D56558">
        <w:instrText xml:space="preserve"> SEQ Figure \* ARABIC </w:instrText>
      </w:r>
      <w:r w:rsidR="00D56558">
        <w:fldChar w:fldCharType="separate"/>
      </w:r>
      <w:r w:rsidR="00BA2D9B">
        <w:rPr>
          <w:noProof/>
        </w:rPr>
        <w:t>18</w:t>
      </w:r>
      <w:r w:rsidR="00D56558">
        <w:rPr>
          <w:noProof/>
        </w:rPr>
        <w:fldChar w:fldCharType="end"/>
      </w:r>
      <w:r>
        <w:t xml:space="preserve"> : </w:t>
      </w:r>
      <w:r w:rsidRPr="004F1167">
        <w:t xml:space="preserve">Répartition des GES évités par filière </w:t>
      </w:r>
      <w:proofErr w:type="spellStart"/>
      <w:r w:rsidRPr="004F1167">
        <w:t>EnR&amp;R</w:t>
      </w:r>
      <w:bookmarkEnd w:id="96"/>
      <w:proofErr w:type="spellEnd"/>
    </w:p>
    <w:p w14:paraId="56E4DACE" w14:textId="2AA5B882" w:rsidR="000F57CC" w:rsidRDefault="000F57CC" w:rsidP="000F57CC">
      <w:pPr>
        <w:pStyle w:val="Style1"/>
      </w:pPr>
      <w:bookmarkStart w:id="97" w:name="_Toc129784747"/>
      <w:r w:rsidRPr="000F57CC">
        <w:t>Potentiel de développement des énergies renouvelables et de récupération sur le territoire</w:t>
      </w:r>
      <w:bookmarkEnd w:id="97"/>
    </w:p>
    <w:p w14:paraId="23CB9453" w14:textId="140C1348" w:rsidR="000F57CC" w:rsidRPr="00261F4A" w:rsidRDefault="000F57CC" w:rsidP="000F57CC">
      <w:r w:rsidRPr="00261F4A">
        <w:t xml:space="preserve">Pour chacune des énergies listées dans la partie précédente, il a été estimé un potentiel global de production sans considérer de rupture technologique et en l’état actuel de la réglementation. </w:t>
      </w:r>
    </w:p>
    <w:p w14:paraId="033D4A06" w14:textId="2E4C66CE" w:rsidR="000F57CC" w:rsidRPr="00261F4A" w:rsidRDefault="000F57CC" w:rsidP="000F57CC">
      <w:r w:rsidRPr="00261F4A">
        <w:t xml:space="preserve">Les paragraphes ci-dessous présentent les résultats obtenus ainsi que les hypothèses utilisées pour arriver à ces résultats. </w:t>
      </w:r>
    </w:p>
    <w:p w14:paraId="7511E7C1" w14:textId="4410C8C6" w:rsidR="000F57CC" w:rsidRPr="00261F4A" w:rsidRDefault="000F57CC" w:rsidP="000F57CC">
      <w:r w:rsidRPr="00261F4A">
        <w:t xml:space="preserve">Dans un premier temps est évalué le gisement brut, puis, quand il y en a, le gisement net en est déduit suivant les contraintes spécifiques au territoire vis-à-vis de l’énergie renouvelable étudiée. </w:t>
      </w:r>
    </w:p>
    <w:p w14:paraId="2BECC7A8" w14:textId="52F328E6" w:rsidR="000F57CC" w:rsidRPr="000F57CC" w:rsidRDefault="000F57CC" w:rsidP="000F57CC">
      <w:r w:rsidRPr="00261F4A">
        <w:rPr>
          <w:u w:val="single"/>
        </w:rPr>
        <w:t>Gisement brut</w:t>
      </w:r>
      <w:r w:rsidRPr="00261F4A">
        <w:t> : potentiel de production d’énergie indépendant de tout frein technique, juridique ou économique,</w:t>
      </w:r>
    </w:p>
    <w:p w14:paraId="6087D743" w14:textId="5574D8A5" w:rsidR="000F57CC" w:rsidRDefault="000F57CC" w:rsidP="000F57CC">
      <w:r w:rsidRPr="00261F4A">
        <w:rPr>
          <w:u w:val="single"/>
        </w:rPr>
        <w:t>Gisement net</w:t>
      </w:r>
      <w:r w:rsidRPr="00261F4A">
        <w:t> : potentiel de production d’énergie restant après intégration de ces freins.</w:t>
      </w:r>
    </w:p>
    <w:p w14:paraId="572927AA" w14:textId="7EA80AA7" w:rsidR="000F57CC" w:rsidRDefault="000F57CC" w:rsidP="000F57CC">
      <w:r w:rsidRPr="00F60465">
        <w:t xml:space="preserve">Les potentiels estimés </w:t>
      </w:r>
      <w:r w:rsidRPr="00F60465">
        <w:rPr>
          <w:b/>
          <w:bCs/>
        </w:rPr>
        <w:t>ne prennent pas en compte les concurrences</w:t>
      </w:r>
      <w:r w:rsidRPr="00F60465">
        <w:t xml:space="preserve"> entre les différentes énergies (bois-énergie/géothermie, solaire thermique)</w:t>
      </w:r>
    </w:p>
    <w:p w14:paraId="32A42D84" w14:textId="7D265A7A" w:rsidR="000F57CC" w:rsidRDefault="000F57CC" w:rsidP="000F57CC">
      <w:r w:rsidRPr="00261F4A">
        <w:t>Les gisements obtenus sont donnés par communes quand un tel niveau de détail est possible</w:t>
      </w:r>
      <w:r>
        <w:t>.</w:t>
      </w:r>
    </w:p>
    <w:p w14:paraId="65F18273" w14:textId="4BF05CDA" w:rsidR="000F57CC" w:rsidRDefault="000F57CC" w:rsidP="0090476F">
      <w:pPr>
        <w:pStyle w:val="Titre2"/>
        <w:ind w:left="1996" w:hanging="578"/>
      </w:pPr>
      <w:bookmarkStart w:id="98" w:name="_Toc129784748"/>
      <w:r>
        <w:t>Production d’électricité renouvelable</w:t>
      </w:r>
      <w:bookmarkEnd w:id="98"/>
    </w:p>
    <w:p w14:paraId="5474B026" w14:textId="77777777" w:rsidR="000F57CC" w:rsidRPr="009E2616" w:rsidRDefault="000F57CC" w:rsidP="00EA1E3D">
      <w:pPr>
        <w:pStyle w:val="Titre3"/>
        <w:ind w:left="2818"/>
      </w:pPr>
      <w:bookmarkStart w:id="99" w:name="_Toc129784749"/>
      <w:r w:rsidRPr="009E2616">
        <w:t>L’éolien</w:t>
      </w:r>
      <w:bookmarkEnd w:id="99"/>
      <w:r w:rsidRPr="009E2616">
        <w:t xml:space="preserve"> </w:t>
      </w:r>
    </w:p>
    <w:p w14:paraId="1B9686F6" w14:textId="77777777" w:rsidR="000F57CC" w:rsidRPr="00B837AC" w:rsidRDefault="000F57CC" w:rsidP="000F57CC">
      <w:r w:rsidRPr="00B837AC">
        <w:t>Le développement de l’éolien terrestre est limité par plusieurs types de contraintes :</w:t>
      </w:r>
    </w:p>
    <w:p w14:paraId="78C44715" w14:textId="77777777" w:rsidR="000F57CC" w:rsidRPr="00B837AC" w:rsidRDefault="000F57CC" w:rsidP="008A0F26">
      <w:pPr>
        <w:pStyle w:val="Paragraphedeliste"/>
        <w:numPr>
          <w:ilvl w:val="0"/>
          <w:numId w:val="3"/>
        </w:numPr>
        <w:spacing w:before="120" w:line="276" w:lineRule="auto"/>
      </w:pPr>
      <w:r w:rsidRPr="00B837AC">
        <w:t>Contraintes techniques (vent inférieur à 4m/s, couloirs aériens très basse altitude, dégagement des aéroports, radars) </w:t>
      </w:r>
    </w:p>
    <w:p w14:paraId="1CE7E7EB" w14:textId="77777777" w:rsidR="000F57CC" w:rsidRPr="00B837AC" w:rsidRDefault="000F57CC" w:rsidP="008A0F26">
      <w:pPr>
        <w:pStyle w:val="Paragraphedeliste"/>
        <w:numPr>
          <w:ilvl w:val="0"/>
          <w:numId w:val="3"/>
        </w:numPr>
        <w:spacing w:before="120" w:line="276" w:lineRule="auto"/>
      </w:pPr>
      <w:r w:rsidRPr="00B837AC">
        <w:t>Contraintes liées au patrimoine paysager, architectural et culturel (sites classés, périmètre de protection des monuments historiques, sites inscrits, PNR)</w:t>
      </w:r>
    </w:p>
    <w:p w14:paraId="07B8DC72" w14:textId="77777777" w:rsidR="000F57CC" w:rsidRPr="00B837AC" w:rsidRDefault="000F57CC" w:rsidP="008A0F26">
      <w:pPr>
        <w:pStyle w:val="Paragraphedeliste"/>
        <w:numPr>
          <w:ilvl w:val="0"/>
          <w:numId w:val="3"/>
        </w:numPr>
        <w:spacing w:before="120" w:line="276" w:lineRule="auto"/>
      </w:pPr>
      <w:r w:rsidRPr="00B837AC">
        <w:t>Contraintes environnementales (arrêtés de protection des biotopes, réserves naturelles, réserves de biosphère, parcs naturels, zone Natura 2000, réserves biologiques, ZNIEFF, ZICO, zones de corridors écologiques)</w:t>
      </w:r>
    </w:p>
    <w:p w14:paraId="0DF10FA2" w14:textId="4C1E7AE8" w:rsidR="000F57CC" w:rsidRPr="00B837AC" w:rsidRDefault="000F57CC" w:rsidP="000F57CC">
      <w:r w:rsidRPr="00B837AC">
        <w:t>Les contraintes réglementaires incluent une interdiction d’implantation d’éoliennes dans une zone de 500m autour des bâtiments d’habitation. Dans la BD TOPO, une partie des bâtiments ont pour usage « indifférencié », c’est-à-dire que leur usage réel n’a pas été bien défini jusqu’à présent. Une zone d’exclusion de 500m autour des bâtiments effectivement identifiés comme bâtiments résidentiels dans la BD TOPO, ainsi que ceux identifiés comme « indifférenciés » est donc prise en compte.</w:t>
      </w:r>
    </w:p>
    <w:p w14:paraId="73F182AE" w14:textId="77777777" w:rsidR="000F57CC" w:rsidRDefault="000F57CC" w:rsidP="000F57CC">
      <w:r w:rsidRPr="00B837AC">
        <w:t xml:space="preserve">Ces contraintes ont été identifiées pour le territoire d’étude, comme montré sur les cartographies suivantes : </w:t>
      </w:r>
    </w:p>
    <w:p w14:paraId="132F3C55" w14:textId="77777777" w:rsidR="000F57CC" w:rsidRPr="00B837AC" w:rsidRDefault="000F57CC" w:rsidP="000F57CC"/>
    <w:p w14:paraId="162A4ABE" w14:textId="77777777" w:rsidR="000F57CC" w:rsidRPr="00D97581" w:rsidRDefault="000F57CC" w:rsidP="000F57CC">
      <w:pPr>
        <w:keepNext/>
        <w:jc w:val="center"/>
        <w:rPr>
          <w:highlight w:val="yellow"/>
        </w:rPr>
      </w:pPr>
      <w:r>
        <w:rPr>
          <w:noProof/>
        </w:rPr>
        <w:lastRenderedPageBreak/>
        <w:drawing>
          <wp:inline distT="0" distB="0" distL="0" distR="0" wp14:anchorId="6AFBB8CD" wp14:editId="55ED84D6">
            <wp:extent cx="5760720" cy="4072255"/>
            <wp:effectExtent l="0" t="0" r="0" b="44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inline>
        </w:drawing>
      </w:r>
    </w:p>
    <w:p w14:paraId="6F8227E6" w14:textId="06A216C9" w:rsidR="000F57CC" w:rsidRPr="00861706" w:rsidRDefault="000F57CC" w:rsidP="004D4D82">
      <w:pPr>
        <w:pStyle w:val="Lgende"/>
        <w:jc w:val="center"/>
      </w:pPr>
      <w:bookmarkStart w:id="100" w:name="_Toc126096835"/>
      <w:bookmarkStart w:id="101" w:name="_Toc129786573"/>
      <w:r w:rsidRPr="00861706">
        <w:t xml:space="preserve">Figure </w:t>
      </w:r>
      <w:r w:rsidR="00D56558">
        <w:fldChar w:fldCharType="begin"/>
      </w:r>
      <w:r w:rsidR="00D56558">
        <w:instrText xml:space="preserve"> SEQ Figure \* ARABIC </w:instrText>
      </w:r>
      <w:r w:rsidR="00D56558">
        <w:fldChar w:fldCharType="separate"/>
      </w:r>
      <w:r w:rsidR="00BA2D9B">
        <w:rPr>
          <w:noProof/>
        </w:rPr>
        <w:t>19</w:t>
      </w:r>
      <w:r w:rsidR="00D56558">
        <w:rPr>
          <w:noProof/>
        </w:rPr>
        <w:fldChar w:fldCharType="end"/>
      </w:r>
      <w:r w:rsidRPr="00861706">
        <w:t xml:space="preserve"> : Zones de contraintes réglementaires pour l'implantation d'éoliennes</w:t>
      </w:r>
      <w:bookmarkEnd w:id="100"/>
      <w:bookmarkEnd w:id="101"/>
    </w:p>
    <w:p w14:paraId="6F418A54" w14:textId="77777777" w:rsidR="000F57CC" w:rsidRPr="00861706" w:rsidRDefault="000F57CC" w:rsidP="000F57CC"/>
    <w:p w14:paraId="4064A862" w14:textId="77777777" w:rsidR="000F57CC" w:rsidRPr="00861706" w:rsidRDefault="000F57CC" w:rsidP="000F57CC">
      <w:r w:rsidRPr="00861706">
        <w:t xml:space="preserve">Le territoire présente plusieurs monuments historiques, mais la principale contrainte est d’ordre technique avec la présence d’une zone de concertation de radar (Météo France) ainsi que des zones d’éloignement de systèmes de positionnement de navigation. </w:t>
      </w:r>
    </w:p>
    <w:p w14:paraId="709C98C8" w14:textId="77777777" w:rsidR="000F57CC" w:rsidRDefault="000F57CC" w:rsidP="000F57CC"/>
    <w:p w14:paraId="429E210D" w14:textId="77777777" w:rsidR="000F57CC" w:rsidRPr="004D4D82" w:rsidRDefault="000F57CC" w:rsidP="004D4D82">
      <w:pPr>
        <w:rPr>
          <w:rStyle w:val="Rfrencelgre"/>
        </w:rPr>
      </w:pPr>
      <w:r w:rsidRPr="004D4D82">
        <w:rPr>
          <w:rStyle w:val="Rfrencelgre"/>
        </w:rPr>
        <w:t>Potentiel brut</w:t>
      </w:r>
    </w:p>
    <w:p w14:paraId="4A360EAE" w14:textId="1D2C068C" w:rsidR="000F57CC" w:rsidRDefault="000F57CC" w:rsidP="000F57CC">
      <w:r w:rsidRPr="00861706">
        <w:t>Le potentiel brut correspond aux surfaces exploitables hors contraintes réglementaires. Peu de zones du territoire de la CC de la Haute Vallée de Chevreuse sont possibles, mais potentiellement complexes à mobiliser pour des projets éoliens. Ainsi, le potentie</w:t>
      </w:r>
      <w:r w:rsidR="004D4D82">
        <w:t xml:space="preserve">l du territoire est quasi-nul. </w:t>
      </w:r>
    </w:p>
    <w:p w14:paraId="3D03E3FA" w14:textId="77777777" w:rsidR="00900098" w:rsidRPr="00861706" w:rsidRDefault="00900098" w:rsidP="000F57CC"/>
    <w:p w14:paraId="16DDF51E" w14:textId="091C89B3" w:rsidR="000F57CC" w:rsidRPr="00861706" w:rsidRDefault="000F57CC" w:rsidP="00EA1E3D">
      <w:pPr>
        <w:pStyle w:val="Lgende"/>
        <w:keepNext/>
        <w:jc w:val="center"/>
      </w:pPr>
      <w:bookmarkStart w:id="102" w:name="_Toc126093071"/>
      <w:r w:rsidRPr="00861706">
        <w:t xml:space="preserve">Tableau </w:t>
      </w:r>
      <w:r>
        <w:t>13</w:t>
      </w:r>
      <w:r w:rsidRPr="00861706">
        <w:t xml:space="preserve"> : Récapitulatif du potentiel brut pour l'éolien</w:t>
      </w:r>
      <w:bookmarkEnd w:id="102"/>
    </w:p>
    <w:tbl>
      <w:tblPr>
        <w:tblStyle w:val="AKAtab1"/>
        <w:tblW w:w="9104" w:type="dxa"/>
        <w:tblLook w:val="04A0" w:firstRow="1" w:lastRow="0" w:firstColumn="1" w:lastColumn="0" w:noHBand="0" w:noVBand="1"/>
      </w:tblPr>
      <w:tblGrid>
        <w:gridCol w:w="3482"/>
        <w:gridCol w:w="2509"/>
        <w:gridCol w:w="3113"/>
      </w:tblGrid>
      <w:tr w:rsidR="000F57CC" w:rsidRPr="00861706" w14:paraId="1AEF9B6C" w14:textId="77777777" w:rsidTr="004D4D82">
        <w:trPr>
          <w:cnfStyle w:val="100000000000" w:firstRow="1" w:lastRow="0" w:firstColumn="0" w:lastColumn="0" w:oddVBand="0" w:evenVBand="0" w:oddHBand="0"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9104" w:type="dxa"/>
            <w:gridSpan w:val="3"/>
            <w:noWrap/>
            <w:hideMark/>
          </w:tcPr>
          <w:p w14:paraId="5C113373" w14:textId="77777777" w:rsidR="000F57CC" w:rsidRPr="00861706" w:rsidRDefault="000F57CC" w:rsidP="00231BC1">
            <w:pPr>
              <w:jc w:val="left"/>
              <w:rPr>
                <w:rFonts w:eastAsia="Times New Roman" w:cs="Calibri"/>
                <w:b w:val="0"/>
                <w:bCs/>
                <w:color w:val="FFFFFF"/>
              </w:rPr>
            </w:pPr>
            <w:r w:rsidRPr="00861706">
              <w:rPr>
                <w:rFonts w:eastAsia="Times New Roman" w:cs="Calibri"/>
                <w:b w:val="0"/>
                <w:bCs/>
                <w:color w:val="FFFFFF"/>
              </w:rPr>
              <w:t>Filière : Electricité à partir de l’éolien</w:t>
            </w:r>
          </w:p>
        </w:tc>
      </w:tr>
      <w:tr w:rsidR="000F57CC" w:rsidRPr="00861706" w14:paraId="4EAC27BB" w14:textId="77777777" w:rsidTr="004D4D82">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482" w:type="dxa"/>
            <w:noWrap/>
            <w:hideMark/>
          </w:tcPr>
          <w:p w14:paraId="752A2D23" w14:textId="77777777" w:rsidR="000F57CC" w:rsidRPr="00861706" w:rsidRDefault="000F57CC" w:rsidP="00231BC1">
            <w:pPr>
              <w:jc w:val="center"/>
              <w:rPr>
                <w:rFonts w:eastAsia="Times New Roman" w:cs="Calibri"/>
                <w:color w:val="000000"/>
              </w:rPr>
            </w:pPr>
            <w:r w:rsidRPr="00861706">
              <w:rPr>
                <w:rFonts w:eastAsia="Times New Roman" w:cs="Calibri"/>
                <w:color w:val="000000"/>
              </w:rPr>
              <w:t>Nombre d’éoliennes</w:t>
            </w:r>
          </w:p>
        </w:tc>
        <w:tc>
          <w:tcPr>
            <w:tcW w:w="2509" w:type="dxa"/>
            <w:shd w:val="clear" w:color="auto" w:fill="FBE0DA" w:themeFill="accent2" w:themeFillTint="33"/>
            <w:noWrap/>
            <w:hideMark/>
          </w:tcPr>
          <w:p w14:paraId="6E128CAD" w14:textId="77777777" w:rsidR="000F57CC" w:rsidRPr="00861706" w:rsidRDefault="000F57CC"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861706">
              <w:rPr>
                <w:rFonts w:eastAsia="Times New Roman" w:cs="Calibri"/>
                <w:color w:val="000000"/>
              </w:rPr>
              <w:t>Puissance totale</w:t>
            </w:r>
          </w:p>
        </w:tc>
        <w:tc>
          <w:tcPr>
            <w:tcW w:w="3113" w:type="dxa"/>
            <w:shd w:val="clear" w:color="auto" w:fill="FBE0DA" w:themeFill="accent2" w:themeFillTint="33"/>
            <w:noWrap/>
            <w:hideMark/>
          </w:tcPr>
          <w:p w14:paraId="58ABB784" w14:textId="77777777" w:rsidR="000F57CC" w:rsidRPr="00861706" w:rsidRDefault="000F57CC"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861706">
              <w:rPr>
                <w:rFonts w:eastAsia="Times New Roman" w:cs="Calibri"/>
                <w:color w:val="000000"/>
              </w:rPr>
              <w:t>Production annuelle</w:t>
            </w:r>
          </w:p>
        </w:tc>
      </w:tr>
      <w:tr w:rsidR="000F57CC" w:rsidRPr="00D97581" w14:paraId="6908514D" w14:textId="77777777" w:rsidTr="004D4D82">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482" w:type="dxa"/>
            <w:shd w:val="clear" w:color="auto" w:fill="auto"/>
            <w:noWrap/>
            <w:hideMark/>
          </w:tcPr>
          <w:p w14:paraId="3D7D1689" w14:textId="77777777" w:rsidR="000F57CC" w:rsidRPr="00861706" w:rsidRDefault="000F57CC" w:rsidP="00231BC1">
            <w:pPr>
              <w:jc w:val="center"/>
              <w:rPr>
                <w:rFonts w:eastAsia="Times New Roman" w:cs="Calibri"/>
                <w:color w:val="000000"/>
              </w:rPr>
            </w:pPr>
            <w:r>
              <w:rPr>
                <w:rFonts w:eastAsia="Times New Roman" w:cs="Calibri"/>
                <w:color w:val="000000"/>
              </w:rPr>
              <w:t>0</w:t>
            </w:r>
          </w:p>
        </w:tc>
        <w:tc>
          <w:tcPr>
            <w:tcW w:w="2509" w:type="dxa"/>
            <w:noWrap/>
            <w:hideMark/>
          </w:tcPr>
          <w:p w14:paraId="02D66B4D" w14:textId="77777777" w:rsidR="000F57CC" w:rsidRPr="00861706" w:rsidRDefault="000F57CC"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861706">
              <w:rPr>
                <w:rFonts w:eastAsia="Times New Roman" w:cs="Calibri"/>
                <w:color w:val="000000"/>
              </w:rPr>
              <w:t>0 MW</w:t>
            </w:r>
          </w:p>
        </w:tc>
        <w:tc>
          <w:tcPr>
            <w:tcW w:w="3113" w:type="dxa"/>
            <w:noWrap/>
            <w:hideMark/>
          </w:tcPr>
          <w:p w14:paraId="76DF212A" w14:textId="77777777" w:rsidR="000F57CC" w:rsidRPr="00861706" w:rsidRDefault="000F57CC"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861706">
              <w:rPr>
                <w:rFonts w:eastAsia="Times New Roman" w:cs="Calibri"/>
                <w:color w:val="000000"/>
              </w:rPr>
              <w:t>0 MWh</w:t>
            </w:r>
          </w:p>
        </w:tc>
      </w:tr>
    </w:tbl>
    <w:p w14:paraId="7F23F047" w14:textId="77777777" w:rsidR="000F57CC" w:rsidRPr="00D97581" w:rsidRDefault="000F57CC" w:rsidP="000F57CC">
      <w:pPr>
        <w:rPr>
          <w:highlight w:val="yellow"/>
        </w:rPr>
      </w:pPr>
    </w:p>
    <w:p w14:paraId="20C5D6EB" w14:textId="77777777" w:rsidR="000F57CC" w:rsidRDefault="000F57CC" w:rsidP="000F57CC">
      <w:pPr>
        <w:spacing w:after="160" w:line="259" w:lineRule="auto"/>
        <w:jc w:val="left"/>
        <w:rPr>
          <w:b/>
          <w:i/>
          <w:sz w:val="32"/>
          <w:szCs w:val="32"/>
          <w:highlight w:val="yellow"/>
        </w:rPr>
      </w:pPr>
    </w:p>
    <w:p w14:paraId="60D2CA6A" w14:textId="77777777" w:rsidR="000F57CC" w:rsidRDefault="000F57CC" w:rsidP="000F57CC">
      <w:pPr>
        <w:spacing w:after="160" w:line="259" w:lineRule="auto"/>
        <w:jc w:val="left"/>
        <w:rPr>
          <w:b/>
          <w:i/>
          <w:sz w:val="32"/>
          <w:szCs w:val="32"/>
          <w:highlight w:val="yellow"/>
        </w:rPr>
      </w:pPr>
    </w:p>
    <w:p w14:paraId="11AC2492" w14:textId="77777777" w:rsidR="000F57CC" w:rsidRDefault="000F57CC" w:rsidP="000F57CC">
      <w:pPr>
        <w:spacing w:after="160" w:line="259" w:lineRule="auto"/>
        <w:jc w:val="left"/>
        <w:rPr>
          <w:b/>
          <w:i/>
          <w:sz w:val="32"/>
          <w:szCs w:val="32"/>
          <w:highlight w:val="yellow"/>
        </w:rPr>
      </w:pPr>
    </w:p>
    <w:p w14:paraId="6A9B6AAD" w14:textId="211E1211" w:rsidR="000F57CC" w:rsidRDefault="000F57CC" w:rsidP="002708C8">
      <w:pPr>
        <w:pStyle w:val="Titre3"/>
        <w:ind w:left="2818"/>
      </w:pPr>
      <w:bookmarkStart w:id="103" w:name="_Toc129784750"/>
      <w:r w:rsidRPr="009E2616">
        <w:lastRenderedPageBreak/>
        <w:t>Le solaire photovoltaïque</w:t>
      </w:r>
      <w:bookmarkEnd w:id="103"/>
    </w:p>
    <w:p w14:paraId="67585C2A" w14:textId="77777777" w:rsidR="000F57CC" w:rsidRPr="00341D6F" w:rsidRDefault="000F57CC" w:rsidP="000F57CC">
      <w:r w:rsidRPr="00341D6F">
        <w:t xml:space="preserve">Il a été pris en compte trois types d’installations photovoltaïques : </w:t>
      </w:r>
    </w:p>
    <w:p w14:paraId="43D4B7FC" w14:textId="77777777" w:rsidR="000F57CC" w:rsidRPr="00341D6F" w:rsidRDefault="000F57CC" w:rsidP="008A0F26">
      <w:pPr>
        <w:pStyle w:val="Paragraphedeliste"/>
        <w:numPr>
          <w:ilvl w:val="0"/>
          <w:numId w:val="8"/>
        </w:numPr>
        <w:spacing w:after="200" w:line="276" w:lineRule="auto"/>
      </w:pPr>
      <w:r w:rsidRPr="00341D6F">
        <w:t xml:space="preserve">En toiture </w:t>
      </w:r>
    </w:p>
    <w:p w14:paraId="52A31AA2" w14:textId="77777777" w:rsidR="000F57CC" w:rsidRPr="00341D6F" w:rsidRDefault="000F57CC" w:rsidP="008A0F26">
      <w:pPr>
        <w:pStyle w:val="Paragraphedeliste"/>
        <w:numPr>
          <w:ilvl w:val="0"/>
          <w:numId w:val="8"/>
        </w:numPr>
        <w:spacing w:after="200" w:line="276" w:lineRule="auto"/>
      </w:pPr>
      <w:r w:rsidRPr="00341D6F">
        <w:t>En ombrières de parking</w:t>
      </w:r>
    </w:p>
    <w:p w14:paraId="56419BC2" w14:textId="77777777" w:rsidR="000F57CC" w:rsidRPr="00341D6F" w:rsidRDefault="000F57CC" w:rsidP="008A0F26">
      <w:pPr>
        <w:pStyle w:val="Paragraphedeliste"/>
        <w:numPr>
          <w:ilvl w:val="0"/>
          <w:numId w:val="8"/>
        </w:numPr>
        <w:spacing w:after="200" w:line="276" w:lineRule="auto"/>
      </w:pPr>
      <w:r w:rsidRPr="00341D6F">
        <w:t xml:space="preserve">Centrales au sol sur les zones non utilisées </w:t>
      </w:r>
    </w:p>
    <w:p w14:paraId="2E013253" w14:textId="428347F7" w:rsidR="000F57CC" w:rsidRPr="009E2616" w:rsidRDefault="000F57CC" w:rsidP="004D4D82">
      <w:pPr>
        <w:pStyle w:val="Titre4"/>
        <w:rPr>
          <w:rFonts w:eastAsiaTheme="minorHAnsi"/>
          <w:lang w:val="en-US" w:bidi="en-US"/>
        </w:rPr>
      </w:pPr>
      <w:r w:rsidRPr="009E2616">
        <w:rPr>
          <w:rFonts w:eastAsiaTheme="minorHAnsi"/>
          <w:lang w:val="en-US" w:bidi="en-US"/>
        </w:rPr>
        <w:t xml:space="preserve">Installations </w:t>
      </w:r>
      <w:proofErr w:type="spellStart"/>
      <w:r w:rsidRPr="009E2616">
        <w:rPr>
          <w:rFonts w:eastAsiaTheme="minorHAnsi"/>
          <w:lang w:val="en-US" w:bidi="en-US"/>
        </w:rPr>
        <w:t>en</w:t>
      </w:r>
      <w:proofErr w:type="spellEnd"/>
      <w:r w:rsidRPr="009E2616">
        <w:rPr>
          <w:rFonts w:eastAsiaTheme="minorHAnsi"/>
          <w:lang w:val="en-US" w:bidi="en-US"/>
        </w:rPr>
        <w:t xml:space="preserve"> </w:t>
      </w:r>
      <w:proofErr w:type="spellStart"/>
      <w:r w:rsidRPr="009E2616">
        <w:rPr>
          <w:rFonts w:eastAsiaTheme="minorHAnsi"/>
          <w:lang w:val="en-US" w:bidi="en-US"/>
        </w:rPr>
        <w:t>toiture</w:t>
      </w:r>
      <w:r w:rsidR="00EA1E3D">
        <w:rPr>
          <w:rFonts w:eastAsiaTheme="minorHAnsi"/>
          <w:lang w:val="en-US" w:bidi="en-US"/>
        </w:rPr>
        <w:t>s</w:t>
      </w:r>
      <w:proofErr w:type="spellEnd"/>
    </w:p>
    <w:p w14:paraId="03044999" w14:textId="3ACA9487" w:rsidR="000F57CC" w:rsidRPr="00157986" w:rsidRDefault="000F57CC" w:rsidP="000F57CC">
      <w:pPr>
        <w:autoSpaceDE w:val="0"/>
        <w:autoSpaceDN w:val="0"/>
        <w:adjustRightInd w:val="0"/>
      </w:pPr>
      <w:r>
        <w:br/>
      </w:r>
      <w:r w:rsidRPr="00157986">
        <w:t>Le potentiel de production en kWh/an est déterminé en fonction de la somme de l’irradiation annuelle moyenne du site, du ratio de performance (rendement d’une installation solaire-type) et de la puissance</w:t>
      </w:r>
      <w:r w:rsidR="004D4D82">
        <w:t>.</w:t>
      </w:r>
    </w:p>
    <w:p w14:paraId="3D713E6C" w14:textId="26DB3EEB" w:rsidR="000F57CC" w:rsidRDefault="000F57CC" w:rsidP="000F57CC">
      <w:pPr>
        <w:autoSpaceDE w:val="0"/>
        <w:autoSpaceDN w:val="0"/>
        <w:adjustRightInd w:val="0"/>
      </w:pPr>
      <w:r w:rsidRPr="00157986">
        <w:t xml:space="preserve">La production annuelle des panneaux (irradiation) pour le territoire est estimée grâce au site PVGIS. </w:t>
      </w:r>
    </w:p>
    <w:p w14:paraId="5C3D591F" w14:textId="08B0DB0F" w:rsidR="000F57CC" w:rsidRPr="00157986" w:rsidRDefault="000F57CC" w:rsidP="000F57CC">
      <w:pPr>
        <w:autoSpaceDE w:val="0"/>
        <w:autoSpaceDN w:val="0"/>
        <w:adjustRightInd w:val="0"/>
      </w:pPr>
      <w:r w:rsidRPr="00157986">
        <w:t xml:space="preserve">Les hypothèses de puissance en fonction des surfaces estimées dans les potentiels bruts et net sont les suivantes : </w:t>
      </w:r>
    </w:p>
    <w:tbl>
      <w:tblPr>
        <w:tblStyle w:val="Grilledutableau"/>
        <w:tblW w:w="0" w:type="auto"/>
        <w:jc w:val="center"/>
        <w:tblLayout w:type="fixed"/>
        <w:tblCellMar>
          <w:left w:w="0" w:type="dxa"/>
          <w:right w:w="0" w:type="dxa"/>
        </w:tblCellMar>
        <w:tblLook w:val="04A0" w:firstRow="1" w:lastRow="0" w:firstColumn="1" w:lastColumn="0" w:noHBand="0" w:noVBand="1"/>
      </w:tblPr>
      <w:tblGrid>
        <w:gridCol w:w="2262"/>
        <w:gridCol w:w="2257"/>
        <w:gridCol w:w="2225"/>
        <w:gridCol w:w="2270"/>
      </w:tblGrid>
      <w:tr w:rsidR="000F57CC" w:rsidRPr="00157986" w14:paraId="580F9033" w14:textId="77777777" w:rsidTr="00231BC1">
        <w:trPr>
          <w:trHeight w:val="240"/>
          <w:jc w:val="center"/>
        </w:trPr>
        <w:tc>
          <w:tcPr>
            <w:tcW w:w="2262" w:type="dxa"/>
            <w:shd w:val="clear" w:color="auto" w:fill="C7471D" w:themeFill="accent1"/>
            <w:vAlign w:val="center"/>
          </w:tcPr>
          <w:p w14:paraId="3890CF15" w14:textId="77777777" w:rsidR="000F57CC" w:rsidRPr="00157986" w:rsidRDefault="000F57CC" w:rsidP="00231BC1">
            <w:pPr>
              <w:keepNext/>
              <w:keepLines/>
              <w:autoSpaceDE w:val="0"/>
              <w:autoSpaceDN w:val="0"/>
              <w:adjustRightInd w:val="0"/>
              <w:jc w:val="center"/>
              <w:rPr>
                <w:b/>
                <w:color w:val="FFFFFF" w:themeColor="background1"/>
                <w:szCs w:val="20"/>
              </w:rPr>
            </w:pPr>
            <w:r w:rsidRPr="00157986">
              <w:rPr>
                <w:b/>
                <w:color w:val="FFFFFF" w:themeColor="background1"/>
                <w:szCs w:val="20"/>
              </w:rPr>
              <w:t>Surface disponible</w:t>
            </w:r>
          </w:p>
        </w:tc>
        <w:tc>
          <w:tcPr>
            <w:tcW w:w="2257" w:type="dxa"/>
            <w:shd w:val="clear" w:color="auto" w:fill="auto"/>
            <w:vAlign w:val="center"/>
          </w:tcPr>
          <w:p w14:paraId="266523C9" w14:textId="77777777" w:rsidR="000F57CC" w:rsidRPr="00157986" w:rsidRDefault="000F57CC" w:rsidP="00231BC1">
            <w:pPr>
              <w:keepNext/>
              <w:keepLines/>
              <w:autoSpaceDE w:val="0"/>
              <w:autoSpaceDN w:val="0"/>
              <w:adjustRightInd w:val="0"/>
              <w:jc w:val="center"/>
              <w:rPr>
                <w:szCs w:val="20"/>
              </w:rPr>
            </w:pPr>
            <w:r w:rsidRPr="00157986">
              <w:rPr>
                <w:szCs w:val="20"/>
              </w:rPr>
              <w:t>Inférieure à 50 m²</w:t>
            </w:r>
          </w:p>
        </w:tc>
        <w:tc>
          <w:tcPr>
            <w:tcW w:w="2225" w:type="dxa"/>
            <w:shd w:val="clear" w:color="auto" w:fill="auto"/>
            <w:vAlign w:val="center"/>
          </w:tcPr>
          <w:p w14:paraId="111A909E" w14:textId="77777777" w:rsidR="000F57CC" w:rsidRPr="00157986" w:rsidRDefault="000F57CC" w:rsidP="00231BC1">
            <w:pPr>
              <w:keepNext/>
              <w:keepLines/>
              <w:autoSpaceDE w:val="0"/>
              <w:autoSpaceDN w:val="0"/>
              <w:adjustRightInd w:val="0"/>
              <w:jc w:val="center"/>
              <w:rPr>
                <w:szCs w:val="20"/>
              </w:rPr>
            </w:pPr>
            <w:r w:rsidRPr="00157986">
              <w:rPr>
                <w:szCs w:val="20"/>
              </w:rPr>
              <w:t>Entre 50 et 100 m²</w:t>
            </w:r>
          </w:p>
        </w:tc>
        <w:tc>
          <w:tcPr>
            <w:tcW w:w="2270" w:type="dxa"/>
            <w:shd w:val="clear" w:color="auto" w:fill="auto"/>
            <w:vAlign w:val="center"/>
          </w:tcPr>
          <w:p w14:paraId="432AB286" w14:textId="77777777" w:rsidR="000F57CC" w:rsidRPr="00157986" w:rsidRDefault="000F57CC" w:rsidP="00231BC1">
            <w:pPr>
              <w:keepNext/>
              <w:keepLines/>
              <w:autoSpaceDE w:val="0"/>
              <w:autoSpaceDN w:val="0"/>
              <w:adjustRightInd w:val="0"/>
              <w:jc w:val="center"/>
              <w:rPr>
                <w:szCs w:val="20"/>
              </w:rPr>
            </w:pPr>
            <w:r w:rsidRPr="00157986">
              <w:rPr>
                <w:szCs w:val="20"/>
              </w:rPr>
              <w:t>Supérieure à 100 m²</w:t>
            </w:r>
          </w:p>
        </w:tc>
      </w:tr>
      <w:tr w:rsidR="000F57CC" w:rsidRPr="00157986" w14:paraId="62DCD184" w14:textId="77777777" w:rsidTr="00231BC1">
        <w:trPr>
          <w:trHeight w:val="78"/>
          <w:jc w:val="center"/>
        </w:trPr>
        <w:tc>
          <w:tcPr>
            <w:tcW w:w="2262" w:type="dxa"/>
            <w:shd w:val="clear" w:color="auto" w:fill="C7471D" w:themeFill="accent1"/>
            <w:vAlign w:val="center"/>
          </w:tcPr>
          <w:p w14:paraId="681BE657" w14:textId="77777777" w:rsidR="000F57CC" w:rsidRPr="00157986" w:rsidRDefault="000F57CC" w:rsidP="00231BC1">
            <w:pPr>
              <w:keepNext/>
              <w:keepLines/>
              <w:autoSpaceDE w:val="0"/>
              <w:autoSpaceDN w:val="0"/>
              <w:adjustRightInd w:val="0"/>
              <w:jc w:val="center"/>
              <w:rPr>
                <w:b/>
                <w:color w:val="FFFFFF" w:themeColor="background1"/>
                <w:szCs w:val="20"/>
              </w:rPr>
            </w:pPr>
            <w:r w:rsidRPr="00157986">
              <w:rPr>
                <w:b/>
                <w:color w:val="FFFFFF" w:themeColor="background1"/>
                <w:szCs w:val="20"/>
              </w:rPr>
              <w:t>Ratio de puissance</w:t>
            </w:r>
          </w:p>
        </w:tc>
        <w:tc>
          <w:tcPr>
            <w:tcW w:w="2257" w:type="dxa"/>
            <w:shd w:val="clear" w:color="auto" w:fill="auto"/>
            <w:vAlign w:val="center"/>
          </w:tcPr>
          <w:p w14:paraId="11609470" w14:textId="77777777" w:rsidR="000F57CC" w:rsidRPr="00157986" w:rsidRDefault="000F57CC" w:rsidP="00231BC1">
            <w:pPr>
              <w:keepNext/>
              <w:keepLines/>
              <w:autoSpaceDE w:val="0"/>
              <w:autoSpaceDN w:val="0"/>
              <w:adjustRightInd w:val="0"/>
              <w:jc w:val="center"/>
              <w:rPr>
                <w:szCs w:val="20"/>
              </w:rPr>
            </w:pPr>
            <w:r w:rsidRPr="00157986">
              <w:rPr>
                <w:szCs w:val="20"/>
              </w:rPr>
              <w:t xml:space="preserve">125 </w:t>
            </w:r>
            <w:proofErr w:type="spellStart"/>
            <w:r w:rsidRPr="00157986">
              <w:rPr>
                <w:szCs w:val="20"/>
              </w:rPr>
              <w:t>Wc</w:t>
            </w:r>
            <w:proofErr w:type="spellEnd"/>
            <w:r w:rsidRPr="00157986">
              <w:rPr>
                <w:szCs w:val="20"/>
              </w:rPr>
              <w:t>/m²</w:t>
            </w:r>
          </w:p>
        </w:tc>
        <w:tc>
          <w:tcPr>
            <w:tcW w:w="2225" w:type="dxa"/>
            <w:shd w:val="clear" w:color="auto" w:fill="auto"/>
            <w:vAlign w:val="center"/>
          </w:tcPr>
          <w:p w14:paraId="412B57B1" w14:textId="77777777" w:rsidR="000F57CC" w:rsidRPr="00157986" w:rsidRDefault="000F57CC" w:rsidP="00231BC1">
            <w:pPr>
              <w:keepNext/>
              <w:keepLines/>
              <w:autoSpaceDE w:val="0"/>
              <w:autoSpaceDN w:val="0"/>
              <w:adjustRightInd w:val="0"/>
              <w:jc w:val="center"/>
              <w:rPr>
                <w:szCs w:val="20"/>
              </w:rPr>
            </w:pPr>
            <w:r w:rsidRPr="00157986">
              <w:rPr>
                <w:szCs w:val="20"/>
              </w:rPr>
              <w:t xml:space="preserve">135 </w:t>
            </w:r>
            <w:proofErr w:type="spellStart"/>
            <w:r w:rsidRPr="00157986">
              <w:rPr>
                <w:szCs w:val="20"/>
              </w:rPr>
              <w:t>Wc</w:t>
            </w:r>
            <w:proofErr w:type="spellEnd"/>
            <w:r w:rsidRPr="00157986">
              <w:rPr>
                <w:szCs w:val="20"/>
              </w:rPr>
              <w:t>/m²</w:t>
            </w:r>
          </w:p>
        </w:tc>
        <w:tc>
          <w:tcPr>
            <w:tcW w:w="2270" w:type="dxa"/>
            <w:shd w:val="clear" w:color="auto" w:fill="auto"/>
            <w:vAlign w:val="center"/>
          </w:tcPr>
          <w:p w14:paraId="36CFF452" w14:textId="77777777" w:rsidR="000F57CC" w:rsidRPr="00157986" w:rsidRDefault="000F57CC" w:rsidP="00231BC1">
            <w:pPr>
              <w:keepNext/>
              <w:keepLines/>
              <w:autoSpaceDE w:val="0"/>
              <w:autoSpaceDN w:val="0"/>
              <w:adjustRightInd w:val="0"/>
              <w:jc w:val="center"/>
              <w:rPr>
                <w:szCs w:val="20"/>
              </w:rPr>
            </w:pPr>
            <w:r w:rsidRPr="00157986">
              <w:rPr>
                <w:szCs w:val="20"/>
              </w:rPr>
              <w:t xml:space="preserve">140 </w:t>
            </w:r>
            <w:proofErr w:type="spellStart"/>
            <w:r w:rsidRPr="00157986">
              <w:rPr>
                <w:szCs w:val="20"/>
              </w:rPr>
              <w:t>Wc</w:t>
            </w:r>
            <w:proofErr w:type="spellEnd"/>
            <w:r w:rsidRPr="00157986">
              <w:rPr>
                <w:szCs w:val="20"/>
              </w:rPr>
              <w:t>/m²</w:t>
            </w:r>
          </w:p>
        </w:tc>
      </w:tr>
    </w:tbl>
    <w:p w14:paraId="03D08407" w14:textId="77777777" w:rsidR="004D4D82" w:rsidRDefault="004D4D82" w:rsidP="000F57CC">
      <w:pPr>
        <w:autoSpaceDE w:val="0"/>
        <w:autoSpaceDN w:val="0"/>
        <w:adjustRightInd w:val="0"/>
      </w:pPr>
    </w:p>
    <w:p w14:paraId="097F4483" w14:textId="7165AF25" w:rsidR="000F57CC" w:rsidRDefault="000F57CC" w:rsidP="000F57CC">
      <w:pPr>
        <w:autoSpaceDE w:val="0"/>
        <w:autoSpaceDN w:val="0"/>
        <w:adjustRightInd w:val="0"/>
      </w:pPr>
      <w:r w:rsidRPr="00157986">
        <w:t xml:space="preserve">Pour le potentiel brut, toutes les surfaces de toits du territoire sont comptées. Le territoire possède ainsi une surface de toit utilisables de </w:t>
      </w:r>
      <w:r>
        <w:rPr>
          <w:b/>
          <w:bCs/>
        </w:rPr>
        <w:t xml:space="preserve">419 209 </w:t>
      </w:r>
      <w:r w:rsidRPr="00157986">
        <w:rPr>
          <w:b/>
          <w:bCs/>
        </w:rPr>
        <w:t>m²</w:t>
      </w:r>
      <w:r w:rsidRPr="00157986">
        <w:t xml:space="preserve">, ce qui représente une puissance installée de </w:t>
      </w:r>
      <w:r>
        <w:rPr>
          <w:b/>
          <w:bCs/>
        </w:rPr>
        <w:t>67 039</w:t>
      </w:r>
      <w:r w:rsidRPr="00A23012">
        <w:rPr>
          <w:b/>
          <w:bCs/>
        </w:rPr>
        <w:t xml:space="preserve"> kWc</w:t>
      </w:r>
      <w:r w:rsidRPr="00A23012">
        <w:t xml:space="preserve"> et une production annuelle de </w:t>
      </w:r>
      <w:r>
        <w:rPr>
          <w:b/>
          <w:bCs/>
        </w:rPr>
        <w:t>73 700</w:t>
      </w:r>
      <w:r w:rsidRPr="00A23012">
        <w:rPr>
          <w:b/>
          <w:bCs/>
        </w:rPr>
        <w:t xml:space="preserve"> MWh</w:t>
      </w:r>
      <w:r w:rsidRPr="00A23012">
        <w:t>.</w:t>
      </w:r>
    </w:p>
    <w:p w14:paraId="72741CD8" w14:textId="77777777" w:rsidR="000F57CC" w:rsidRDefault="000F57CC" w:rsidP="000F57CC">
      <w:pPr>
        <w:keepNext/>
        <w:autoSpaceDE w:val="0"/>
        <w:autoSpaceDN w:val="0"/>
        <w:adjustRightInd w:val="0"/>
        <w:jc w:val="center"/>
      </w:pPr>
      <w:r>
        <w:rPr>
          <w:noProof/>
        </w:rPr>
        <w:drawing>
          <wp:inline distT="0" distB="0" distL="0" distR="0" wp14:anchorId="140DE308" wp14:editId="73CB62D9">
            <wp:extent cx="5642146" cy="398843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43092" cy="3989104"/>
                    </a:xfrm>
                    <a:prstGeom prst="rect">
                      <a:avLst/>
                    </a:prstGeom>
                  </pic:spPr>
                </pic:pic>
              </a:graphicData>
            </a:graphic>
          </wp:inline>
        </w:drawing>
      </w:r>
    </w:p>
    <w:p w14:paraId="6B8380B4" w14:textId="009E6B60" w:rsidR="000F57CC" w:rsidRDefault="000F57CC" w:rsidP="004D4D82">
      <w:pPr>
        <w:pStyle w:val="Lgende"/>
        <w:jc w:val="center"/>
      </w:pPr>
      <w:bookmarkStart w:id="104" w:name="_Toc126096836"/>
      <w:bookmarkStart w:id="105" w:name="_Toc129786574"/>
      <w:r>
        <w:t xml:space="preserve">Figure </w:t>
      </w:r>
      <w:r w:rsidR="00D56558">
        <w:fldChar w:fldCharType="begin"/>
      </w:r>
      <w:r w:rsidR="00D56558">
        <w:instrText xml:space="preserve"> SEQ Figure \* ARABIC </w:instrText>
      </w:r>
      <w:r w:rsidR="00D56558">
        <w:fldChar w:fldCharType="separate"/>
      </w:r>
      <w:r w:rsidR="00BA2D9B">
        <w:rPr>
          <w:noProof/>
        </w:rPr>
        <w:t>20</w:t>
      </w:r>
      <w:r w:rsidR="00D56558">
        <w:rPr>
          <w:noProof/>
        </w:rPr>
        <w:fldChar w:fldCharType="end"/>
      </w:r>
      <w:r>
        <w:t xml:space="preserve"> : Gisement de productible solaire PV</w:t>
      </w:r>
      <w:bookmarkEnd w:id="104"/>
      <w:bookmarkEnd w:id="105"/>
    </w:p>
    <w:p w14:paraId="2EED6B82" w14:textId="77777777" w:rsidR="000F57CC" w:rsidRPr="00907BE7" w:rsidRDefault="000F57CC" w:rsidP="00907BE7">
      <w:pPr>
        <w:pStyle w:val="Lgende"/>
        <w:jc w:val="center"/>
        <w:rPr>
          <w:b w:val="0"/>
          <w:bCs w:val="0"/>
          <w:i/>
          <w:iCs/>
          <w:color w:val="auto"/>
        </w:rPr>
      </w:pPr>
      <w:r w:rsidRPr="00907BE7">
        <w:rPr>
          <w:b w:val="0"/>
          <w:bCs w:val="0"/>
          <w:i/>
          <w:iCs/>
          <w:color w:val="auto"/>
        </w:rPr>
        <w:t>Source : Solar GIS</w:t>
      </w:r>
    </w:p>
    <w:p w14:paraId="65422647" w14:textId="77777777" w:rsidR="000F57CC" w:rsidRDefault="000F57CC" w:rsidP="000F57CC">
      <w:pPr>
        <w:autoSpaceDE w:val="0"/>
        <w:autoSpaceDN w:val="0"/>
        <w:adjustRightInd w:val="0"/>
      </w:pPr>
    </w:p>
    <w:p w14:paraId="35C359A5" w14:textId="77777777" w:rsidR="000F57CC" w:rsidRPr="00157986" w:rsidRDefault="000F57CC" w:rsidP="000F57CC">
      <w:pPr>
        <w:autoSpaceDE w:val="0"/>
        <w:autoSpaceDN w:val="0"/>
        <w:adjustRightInd w:val="0"/>
      </w:pPr>
      <w:r w:rsidRPr="00157986">
        <w:lastRenderedPageBreak/>
        <w:t xml:space="preserve">Pour le potentiel net, une orientation des toitures est tout d’abord prise en compte. En fonction de l’orientation du toit, on considère que tout ou une partie de la toiture peut être utilisée pour l’installation du PV : </w:t>
      </w:r>
    </w:p>
    <w:p w14:paraId="2252DF57" w14:textId="77777777" w:rsidR="000F57CC" w:rsidRPr="00A0317A" w:rsidRDefault="000F57CC" w:rsidP="008A0F26">
      <w:pPr>
        <w:pStyle w:val="Paragraphedeliste"/>
        <w:numPr>
          <w:ilvl w:val="0"/>
          <w:numId w:val="3"/>
        </w:numPr>
        <w:autoSpaceDE w:val="0"/>
        <w:autoSpaceDN w:val="0"/>
        <w:adjustRightInd w:val="0"/>
        <w:spacing w:line="276" w:lineRule="auto"/>
      </w:pPr>
      <w:r w:rsidRPr="00A0317A">
        <w:t>Pour les toitures est-ouest, 100% de la toiture est considérée comme pouvant être couverte de panneaux</w:t>
      </w:r>
    </w:p>
    <w:p w14:paraId="604EE29F" w14:textId="77777777" w:rsidR="000F57CC" w:rsidRPr="00A0317A" w:rsidRDefault="000F57CC" w:rsidP="008A0F26">
      <w:pPr>
        <w:pStyle w:val="Paragraphedeliste"/>
        <w:numPr>
          <w:ilvl w:val="0"/>
          <w:numId w:val="3"/>
        </w:numPr>
        <w:autoSpaceDE w:val="0"/>
        <w:autoSpaceDN w:val="0"/>
        <w:adjustRightInd w:val="0"/>
        <w:spacing w:line="276" w:lineRule="auto"/>
      </w:pPr>
      <w:r w:rsidRPr="00A0317A">
        <w:t>Pour les toitures orientées au sud, un ratio de 50% est pris en compte</w:t>
      </w:r>
    </w:p>
    <w:p w14:paraId="4D58DBAE" w14:textId="77777777" w:rsidR="000F57CC" w:rsidRDefault="000F57CC" w:rsidP="008A0F26">
      <w:pPr>
        <w:pStyle w:val="Paragraphedeliste"/>
        <w:numPr>
          <w:ilvl w:val="0"/>
          <w:numId w:val="3"/>
        </w:numPr>
        <w:autoSpaceDE w:val="0"/>
        <w:autoSpaceDN w:val="0"/>
        <w:adjustRightInd w:val="0"/>
        <w:spacing w:line="276" w:lineRule="auto"/>
      </w:pPr>
      <w:r w:rsidRPr="00A0317A">
        <w:t>Les toitures non comprises dans les orientations ci-dessus ne sont pas comptées.</w:t>
      </w:r>
    </w:p>
    <w:p w14:paraId="64F08DF5" w14:textId="77777777" w:rsidR="000F57CC" w:rsidRPr="002339D4" w:rsidRDefault="000F57CC" w:rsidP="000F57CC">
      <w:pPr>
        <w:autoSpaceDE w:val="0"/>
        <w:autoSpaceDN w:val="0"/>
        <w:adjustRightInd w:val="0"/>
      </w:pPr>
      <w:r w:rsidRPr="00157986">
        <w:t xml:space="preserve">L’outil permettant de rendre compte de l’orientation des bâtiments est </w:t>
      </w:r>
      <w:proofErr w:type="spellStart"/>
      <w:r w:rsidRPr="00157986">
        <w:t>Whitebox</w:t>
      </w:r>
      <w:proofErr w:type="spellEnd"/>
      <w:r w:rsidRPr="00157986">
        <w:t xml:space="preserve">. </w:t>
      </w:r>
    </w:p>
    <w:p w14:paraId="64AB67F3" w14:textId="64FD1DE4" w:rsidR="000F57CC" w:rsidRPr="00157986" w:rsidRDefault="000F57CC" w:rsidP="000F57CC">
      <w:pPr>
        <w:autoSpaceDE w:val="0"/>
        <w:autoSpaceDN w:val="0"/>
        <w:adjustRightInd w:val="0"/>
      </w:pPr>
      <w:r w:rsidRPr="00157986">
        <w:t>De plus, les bâtiments en parties ou totalement masqués par la végétation ne sont pas pris en compte.</w:t>
      </w:r>
    </w:p>
    <w:p w14:paraId="7810F67C" w14:textId="77777777" w:rsidR="004C4A38" w:rsidRDefault="000F57CC" w:rsidP="000F57CC">
      <w:pPr>
        <w:autoSpaceDE w:val="0"/>
        <w:autoSpaceDN w:val="0"/>
        <w:adjustRightInd w:val="0"/>
      </w:pPr>
      <w:r w:rsidRPr="002339D4">
        <w:rPr>
          <w:b/>
          <w:bCs/>
        </w:rPr>
        <w:t>Le potentiel net</w:t>
      </w:r>
      <w:r w:rsidRPr="00157986">
        <w:t xml:space="preserve"> de la CC </w:t>
      </w:r>
      <w:r>
        <w:t>de la Haute Vallée de Chevreuse</w:t>
      </w:r>
      <w:r w:rsidRPr="00157986">
        <w:t xml:space="preserve"> est de </w:t>
      </w:r>
      <w:r>
        <w:rPr>
          <w:b/>
          <w:bCs/>
        </w:rPr>
        <w:t>405 968</w:t>
      </w:r>
      <w:r w:rsidRPr="00157986">
        <w:rPr>
          <w:b/>
          <w:bCs/>
        </w:rPr>
        <w:t xml:space="preserve"> m²</w:t>
      </w:r>
      <w:r w:rsidRPr="00157986">
        <w:t xml:space="preserve">, soit </w:t>
      </w:r>
      <w:r>
        <w:rPr>
          <w:b/>
          <w:bCs/>
        </w:rPr>
        <w:t>40 255</w:t>
      </w:r>
      <w:r w:rsidRPr="00157986">
        <w:rPr>
          <w:b/>
          <w:bCs/>
        </w:rPr>
        <w:t xml:space="preserve"> kWc</w:t>
      </w:r>
      <w:r w:rsidRPr="00157986">
        <w:t xml:space="preserve"> installé et </w:t>
      </w:r>
      <w:r>
        <w:rPr>
          <w:b/>
          <w:bCs/>
        </w:rPr>
        <w:t xml:space="preserve">42 962 </w:t>
      </w:r>
      <w:r w:rsidRPr="00157986">
        <w:rPr>
          <w:b/>
          <w:bCs/>
        </w:rPr>
        <w:t>MWh</w:t>
      </w:r>
      <w:r w:rsidRPr="00157986">
        <w:t xml:space="preserve"> produit dans l’année. </w:t>
      </w:r>
    </w:p>
    <w:p w14:paraId="5CB4B214" w14:textId="4886D7C8" w:rsidR="00E1039A" w:rsidRDefault="004C4A38" w:rsidP="000F57CC">
      <w:pPr>
        <w:autoSpaceDE w:val="0"/>
        <w:autoSpaceDN w:val="0"/>
        <w:adjustRightInd w:val="0"/>
      </w:pPr>
      <w:r>
        <w:t xml:space="preserve">Sur ce potentiel, 36% des surfaces de toitures sont comprises dans un périmètre de protection de monument historique soit environ 20% du potentiel calculé (8,5 </w:t>
      </w:r>
      <w:proofErr w:type="gramStart"/>
      <w:r>
        <w:t>GWh</w:t>
      </w:r>
      <w:proofErr w:type="gramEnd"/>
      <w:r>
        <w:t>) si l’on considère que</w:t>
      </w:r>
      <w:r w:rsidR="00EB1475">
        <w:t xml:space="preserve"> 50% des surfaces de toitures comprises dans </w:t>
      </w:r>
      <w:r>
        <w:t>c</w:t>
      </w:r>
      <w:r w:rsidR="00EB1475">
        <w:t>e périmètre ne pourront être équipées de panneaux photovoltaïques (</w:t>
      </w:r>
      <w:r>
        <w:t xml:space="preserve">avis négatif des ABF, </w:t>
      </w:r>
      <w:r w:rsidR="00EB1475">
        <w:t>surcoût</w:t>
      </w:r>
      <w:r>
        <w:t>s</w:t>
      </w:r>
      <w:r w:rsidR="00EB1475">
        <w:t xml:space="preserve"> lié</w:t>
      </w:r>
      <w:r>
        <w:t>s</w:t>
      </w:r>
      <w:r w:rsidR="00EB1475">
        <w:t xml:space="preserve"> </w:t>
      </w:r>
      <w:r>
        <w:t xml:space="preserve">à du matériel moins visible, …). </w:t>
      </w:r>
    </w:p>
    <w:p w14:paraId="5F82D939" w14:textId="77777777" w:rsidR="004C4A38" w:rsidRDefault="004C4A38" w:rsidP="000F57CC">
      <w:pPr>
        <w:autoSpaceDE w:val="0"/>
        <w:autoSpaceDN w:val="0"/>
        <w:adjustRightInd w:val="0"/>
      </w:pPr>
    </w:p>
    <w:p w14:paraId="2066CFAE" w14:textId="77777777" w:rsidR="000F57CC" w:rsidRDefault="000F57CC" w:rsidP="000F57CC">
      <w:pPr>
        <w:keepNext/>
        <w:autoSpaceDE w:val="0"/>
        <w:autoSpaceDN w:val="0"/>
        <w:adjustRightInd w:val="0"/>
        <w:jc w:val="center"/>
      </w:pPr>
      <w:r>
        <w:rPr>
          <w:noProof/>
        </w:rPr>
        <w:drawing>
          <wp:inline distT="0" distB="0" distL="0" distR="0" wp14:anchorId="5C9C20D5" wp14:editId="6CA46AE9">
            <wp:extent cx="5760720" cy="4072255"/>
            <wp:effectExtent l="0" t="0" r="0" b="4445"/>
            <wp:docPr id="37" name="Image 3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carte&#10;&#10;Description générée automatiquemen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inline>
        </w:drawing>
      </w:r>
    </w:p>
    <w:p w14:paraId="233A1A6F" w14:textId="44DA822A" w:rsidR="000F57CC" w:rsidRDefault="000F57CC" w:rsidP="004D4D82">
      <w:pPr>
        <w:pStyle w:val="Lgende"/>
        <w:jc w:val="center"/>
      </w:pPr>
      <w:bookmarkStart w:id="106" w:name="_Toc126096837"/>
      <w:bookmarkStart w:id="107" w:name="_Toc129786575"/>
      <w:r>
        <w:t xml:space="preserve">Figure </w:t>
      </w:r>
      <w:r w:rsidR="00D56558">
        <w:fldChar w:fldCharType="begin"/>
      </w:r>
      <w:r w:rsidR="00D56558">
        <w:instrText xml:space="preserve"> SEQ Figure \* ARABIC </w:instrText>
      </w:r>
      <w:r w:rsidR="00D56558">
        <w:fldChar w:fldCharType="separate"/>
      </w:r>
      <w:r w:rsidR="00BA2D9B">
        <w:rPr>
          <w:noProof/>
        </w:rPr>
        <w:t>21</w:t>
      </w:r>
      <w:r w:rsidR="00D56558">
        <w:rPr>
          <w:noProof/>
        </w:rPr>
        <w:fldChar w:fldCharType="end"/>
      </w:r>
      <w:r>
        <w:t xml:space="preserve"> : Potentiel de production solaire PV</w:t>
      </w:r>
      <w:bookmarkEnd w:id="106"/>
      <w:bookmarkEnd w:id="107"/>
    </w:p>
    <w:p w14:paraId="0714CE19" w14:textId="77777777" w:rsidR="000F57CC" w:rsidRPr="00907BE7" w:rsidRDefault="000F57CC" w:rsidP="00907BE7">
      <w:pPr>
        <w:pStyle w:val="Lgende"/>
        <w:jc w:val="center"/>
        <w:rPr>
          <w:b w:val="0"/>
          <w:bCs w:val="0"/>
          <w:i/>
          <w:iCs/>
          <w:color w:val="auto"/>
        </w:rPr>
      </w:pPr>
      <w:r w:rsidRPr="00907BE7">
        <w:rPr>
          <w:b w:val="0"/>
          <w:bCs w:val="0"/>
          <w:i/>
          <w:iCs/>
          <w:color w:val="auto"/>
        </w:rPr>
        <w:t xml:space="preserve">Source : BD Topo – Traitement </w:t>
      </w:r>
      <w:proofErr w:type="spellStart"/>
      <w:r w:rsidRPr="00907BE7">
        <w:rPr>
          <w:b w:val="0"/>
          <w:bCs w:val="0"/>
          <w:i/>
          <w:iCs/>
          <w:color w:val="auto"/>
        </w:rPr>
        <w:t>Akajoule</w:t>
      </w:r>
      <w:proofErr w:type="spellEnd"/>
    </w:p>
    <w:p w14:paraId="44334A48" w14:textId="1CDE7CEB" w:rsidR="00193B56" w:rsidRDefault="00193B56">
      <w:pPr>
        <w:spacing w:after="200" w:line="276" w:lineRule="auto"/>
        <w:jc w:val="left"/>
        <w:rPr>
          <w:highlight w:val="yellow"/>
        </w:rPr>
      </w:pPr>
      <w:r>
        <w:rPr>
          <w:highlight w:val="yellow"/>
        </w:rPr>
        <w:br w:type="page"/>
      </w:r>
    </w:p>
    <w:p w14:paraId="7EB584A5" w14:textId="77777777" w:rsidR="000F57CC" w:rsidRPr="009E2616" w:rsidRDefault="000F57CC" w:rsidP="005268B1">
      <w:pPr>
        <w:pStyle w:val="Titre4"/>
        <w:rPr>
          <w:rFonts w:eastAsiaTheme="minorHAnsi"/>
          <w:lang w:val="en-US" w:bidi="en-US"/>
        </w:rPr>
      </w:pPr>
      <w:bookmarkStart w:id="108" w:name="_Toc83706288"/>
      <w:proofErr w:type="spellStart"/>
      <w:r w:rsidRPr="009E2616">
        <w:rPr>
          <w:rFonts w:eastAsiaTheme="minorHAnsi"/>
          <w:lang w:val="en-US" w:bidi="en-US"/>
        </w:rPr>
        <w:t>Ombrières</w:t>
      </w:r>
      <w:proofErr w:type="spellEnd"/>
      <w:r w:rsidRPr="009E2616">
        <w:rPr>
          <w:rFonts w:eastAsiaTheme="minorHAnsi"/>
          <w:lang w:val="en-US" w:bidi="en-US"/>
        </w:rPr>
        <w:t xml:space="preserve"> de parking</w:t>
      </w:r>
      <w:bookmarkEnd w:id="108"/>
    </w:p>
    <w:p w14:paraId="0995930F" w14:textId="4A729CEB" w:rsidR="000F57CC" w:rsidRPr="002B6A4E" w:rsidRDefault="000F57CC" w:rsidP="000F57CC">
      <w:pPr>
        <w:autoSpaceDE w:val="0"/>
        <w:autoSpaceDN w:val="0"/>
        <w:adjustRightInd w:val="0"/>
      </w:pPr>
      <w:r>
        <w:br/>
      </w:r>
      <w:r w:rsidRPr="002B6A4E">
        <w:t>On considère aussi l’installation de panneaux photovoltaïques sur les parkings extérieurs des bâtiments com</w:t>
      </w:r>
      <w:r w:rsidR="004D4D82">
        <w:t xml:space="preserve">merciaux et tertiaires, sous la </w:t>
      </w:r>
      <w:r w:rsidRPr="002B6A4E">
        <w:t xml:space="preserve">forme d’ombrières orientées au sud. </w:t>
      </w:r>
    </w:p>
    <w:p w14:paraId="12C0D7B9" w14:textId="77777777" w:rsidR="004D4D82" w:rsidRDefault="000F57CC" w:rsidP="000F57CC">
      <w:pPr>
        <w:autoSpaceDE w:val="0"/>
        <w:autoSpaceDN w:val="0"/>
        <w:adjustRightInd w:val="0"/>
      </w:pPr>
      <w:r w:rsidRPr="00515968">
        <w:lastRenderedPageBreak/>
        <w:t xml:space="preserve">Pour l’évaluation du </w:t>
      </w:r>
      <w:r w:rsidRPr="00515968">
        <w:rPr>
          <w:b/>
          <w:bCs/>
        </w:rPr>
        <w:t>potentiel brut</w:t>
      </w:r>
      <w:r w:rsidRPr="00515968">
        <w:t xml:space="preserve">, il a été considéré l’ensemble des surfaces de parking publics de plus de 10 places recensées par les communes de la CC de la Haute Vallée de Chevreuse. </w:t>
      </w:r>
    </w:p>
    <w:p w14:paraId="4A376DEE" w14:textId="0B209ADE" w:rsidR="000F57CC" w:rsidRPr="00515968" w:rsidRDefault="000F57CC" w:rsidP="000F57CC">
      <w:pPr>
        <w:autoSpaceDE w:val="0"/>
        <w:autoSpaceDN w:val="0"/>
        <w:adjustRightInd w:val="0"/>
      </w:pPr>
      <w:r w:rsidRPr="00515968">
        <w:t xml:space="preserve">Ceci représente </w:t>
      </w:r>
      <w:r w:rsidRPr="00515968">
        <w:rPr>
          <w:b/>
          <w:bCs/>
        </w:rPr>
        <w:t>une surface de parking de 87 180</w:t>
      </w:r>
      <w:r>
        <w:t xml:space="preserve"> </w:t>
      </w:r>
      <w:r w:rsidRPr="00515968">
        <w:rPr>
          <w:b/>
          <w:bCs/>
        </w:rPr>
        <w:t>m²</w:t>
      </w:r>
      <w:r w:rsidRPr="00515968">
        <w:t xml:space="preserve">. </w:t>
      </w:r>
    </w:p>
    <w:p w14:paraId="4B81283D" w14:textId="77777777" w:rsidR="000F57CC" w:rsidRPr="002B6A4E" w:rsidRDefault="000F57CC" w:rsidP="000F57CC">
      <w:pPr>
        <w:autoSpaceDE w:val="0"/>
        <w:autoSpaceDN w:val="0"/>
        <w:adjustRightInd w:val="0"/>
      </w:pPr>
    </w:p>
    <w:p w14:paraId="03862C4A" w14:textId="45D5657A" w:rsidR="004D4D82" w:rsidRDefault="000F57CC" w:rsidP="000F57CC">
      <w:pPr>
        <w:autoSpaceDE w:val="0"/>
        <w:autoSpaceDN w:val="0"/>
        <w:adjustRightInd w:val="0"/>
      </w:pPr>
      <w:r w:rsidRPr="002B6A4E">
        <w:t xml:space="preserve">Pour l’évaluation du </w:t>
      </w:r>
      <w:r w:rsidRPr="006967D4">
        <w:rPr>
          <w:b/>
          <w:bCs/>
        </w:rPr>
        <w:t>potentiel net</w:t>
      </w:r>
      <w:r w:rsidRPr="002B6A4E">
        <w:t xml:space="preserve">, tout comme pour les toitures, les parkings hors zones de végétation (qui peuvent générer des masques) ont été pris en compte. Un abattement des surfaces de 50% est également pris en compte, puisque l’on considère que les ombrières seront placées au-dessus des places de parking, et non pas dans les allées de circulation des voitures. </w:t>
      </w:r>
    </w:p>
    <w:p w14:paraId="34F191C4" w14:textId="4D5DCE00" w:rsidR="000F57CC" w:rsidRDefault="000F57CC" w:rsidP="000F57CC">
      <w:pPr>
        <w:autoSpaceDE w:val="0"/>
        <w:autoSpaceDN w:val="0"/>
        <w:adjustRightInd w:val="0"/>
      </w:pPr>
      <w:r w:rsidRPr="002B6A4E">
        <w:t xml:space="preserve">Ceci représente une </w:t>
      </w:r>
      <w:r w:rsidRPr="006967D4">
        <w:rPr>
          <w:b/>
          <w:bCs/>
        </w:rPr>
        <w:t xml:space="preserve">surface de parking utilisable de </w:t>
      </w:r>
      <w:r>
        <w:rPr>
          <w:b/>
          <w:bCs/>
        </w:rPr>
        <w:t>40 288</w:t>
      </w:r>
      <w:r w:rsidRPr="002B6A4E">
        <w:rPr>
          <w:b/>
          <w:bCs/>
        </w:rPr>
        <w:t xml:space="preserve"> m².</w:t>
      </w:r>
      <w:r w:rsidRPr="002B6A4E">
        <w:t xml:space="preserve"> </w:t>
      </w:r>
      <w:bookmarkStart w:id="109" w:name="_Hlk33087290"/>
    </w:p>
    <w:p w14:paraId="05D33CA2" w14:textId="10151BC9" w:rsidR="00077DDD" w:rsidRPr="002B6A4E" w:rsidRDefault="000F57CC" w:rsidP="00077DDD">
      <w:pPr>
        <w:autoSpaceDE w:val="0"/>
        <w:autoSpaceDN w:val="0"/>
        <w:adjustRightInd w:val="0"/>
      </w:pPr>
      <w:r w:rsidRPr="002B6A4E">
        <w:t xml:space="preserve">On peut encore une fois distinguer dans ce potentiel net celui qui est plus difficilement mobilisable, c’est-à-dire les parkings présents dans les zones de protection des monuments historiques : </w:t>
      </w:r>
      <w:r>
        <w:t>un certain nombre de parkings sont recensés</w:t>
      </w:r>
      <w:r w:rsidR="00AB3B92">
        <w:t xml:space="preserve"> dans ce périmètre de protection. La surface utile de parkings situés hors du périmètre de protection des monuments historiques est d</w:t>
      </w:r>
      <w:r w:rsidRPr="002B6A4E">
        <w:t>e </w:t>
      </w:r>
      <w:r w:rsidR="00AB3B92">
        <w:rPr>
          <w:b/>
          <w:bCs/>
        </w:rPr>
        <w:t>23 000</w:t>
      </w:r>
      <w:r w:rsidRPr="00C374D5">
        <w:rPr>
          <w:b/>
          <w:bCs/>
        </w:rPr>
        <w:t xml:space="preserve"> m²</w:t>
      </w:r>
      <w:r w:rsidR="00077DDD">
        <w:rPr>
          <w:b/>
          <w:bCs/>
        </w:rPr>
        <w:t xml:space="preserve">.  </w:t>
      </w:r>
      <w:r w:rsidR="00077DDD" w:rsidRPr="00A91023">
        <w:t>Les cartographies par commune disponibles en annexe présentent les surfaces de parkings</w:t>
      </w:r>
      <w:r w:rsidR="00077DDD">
        <w:t xml:space="preserve"> compris ou non dans ces périmètres de protection des monuments historiques.</w:t>
      </w:r>
    </w:p>
    <w:bookmarkEnd w:id="109"/>
    <w:p w14:paraId="5710C9A1" w14:textId="67270F47" w:rsidR="000F57CC" w:rsidRDefault="00077DDD" w:rsidP="000F57CC">
      <w:pPr>
        <w:autoSpaceDE w:val="0"/>
        <w:autoSpaceDN w:val="0"/>
        <w:adjustRightInd w:val="0"/>
      </w:pPr>
      <w:r>
        <w:br/>
      </w:r>
      <w:r w:rsidR="000F57CC" w:rsidRPr="002B6A4E">
        <w:t xml:space="preserve">Afin d’estimer la production d’électricité possible sur cette surface, il a été supposé la mise en place de panneaux selon une hypothèse de puissance de </w:t>
      </w:r>
      <w:r w:rsidR="000F57CC" w:rsidRPr="002B6A4E">
        <w:rPr>
          <w:b/>
          <w:bCs/>
        </w:rPr>
        <w:t xml:space="preserve">150 </w:t>
      </w:r>
      <w:proofErr w:type="spellStart"/>
      <w:r w:rsidR="000F57CC" w:rsidRPr="002B6A4E">
        <w:rPr>
          <w:b/>
          <w:bCs/>
        </w:rPr>
        <w:t>Wc</w:t>
      </w:r>
      <w:proofErr w:type="spellEnd"/>
      <w:r w:rsidR="000F57CC" w:rsidRPr="002B6A4E">
        <w:rPr>
          <w:b/>
          <w:bCs/>
        </w:rPr>
        <w:t>/m²</w:t>
      </w:r>
      <w:r w:rsidR="000F57CC" w:rsidRPr="002B6A4E">
        <w:t>.</w:t>
      </w:r>
      <w:r w:rsidR="000F57CC">
        <w:t xml:space="preserve"> </w:t>
      </w:r>
      <w:r w:rsidR="000F57CC" w:rsidRPr="002B6A4E">
        <w:t>Les hypothèses de productivité des panneaux sont détaillées en annexe. </w:t>
      </w:r>
    </w:p>
    <w:p w14:paraId="0A9967F6" w14:textId="77777777" w:rsidR="004D4D82" w:rsidRDefault="000F57CC" w:rsidP="000F57CC">
      <w:pPr>
        <w:autoSpaceDE w:val="0"/>
        <w:autoSpaceDN w:val="0"/>
        <w:adjustRightInd w:val="0"/>
      </w:pPr>
      <w:r w:rsidRPr="002B6A4E">
        <w:t xml:space="preserve">Finalement, le </w:t>
      </w:r>
      <w:r w:rsidRPr="006967D4">
        <w:rPr>
          <w:b/>
          <w:bCs/>
        </w:rPr>
        <w:t xml:space="preserve">potentiel </w:t>
      </w:r>
      <w:r>
        <w:rPr>
          <w:b/>
          <w:bCs/>
        </w:rPr>
        <w:t>brut</w:t>
      </w:r>
      <w:r w:rsidRPr="002B6A4E">
        <w:t xml:space="preserve"> correspond à la mise en place de </w:t>
      </w:r>
      <w:r>
        <w:rPr>
          <w:b/>
          <w:bCs/>
        </w:rPr>
        <w:t>13 000</w:t>
      </w:r>
      <w:r w:rsidRPr="002B6A4E">
        <w:rPr>
          <w:b/>
          <w:bCs/>
        </w:rPr>
        <w:t xml:space="preserve"> </w:t>
      </w:r>
      <w:proofErr w:type="spellStart"/>
      <w:r w:rsidRPr="002B6A4E">
        <w:rPr>
          <w:b/>
          <w:bCs/>
        </w:rPr>
        <w:t>kW</w:t>
      </w:r>
      <w:r w:rsidRPr="002B6A4E">
        <w:rPr>
          <w:b/>
          <w:bCs/>
          <w:vertAlign w:val="subscript"/>
        </w:rPr>
        <w:t>C</w:t>
      </w:r>
      <w:proofErr w:type="spellEnd"/>
      <w:r w:rsidRPr="002B6A4E">
        <w:t xml:space="preserve"> de panneaux photovoltaïques en ombrière de parking, qui pourraient produire </w:t>
      </w:r>
      <w:r>
        <w:rPr>
          <w:b/>
          <w:bCs/>
        </w:rPr>
        <w:t>14 760</w:t>
      </w:r>
      <w:r w:rsidRPr="002B6A4E">
        <w:rPr>
          <w:b/>
          <w:bCs/>
        </w:rPr>
        <w:t xml:space="preserve"> MWh/an</w:t>
      </w:r>
      <w:r w:rsidRPr="002B6A4E">
        <w:t xml:space="preserve">. </w:t>
      </w:r>
    </w:p>
    <w:p w14:paraId="2E02F67F" w14:textId="5336B6FC" w:rsidR="000F57CC" w:rsidRPr="002B6A4E" w:rsidRDefault="000F57CC" w:rsidP="000F57CC">
      <w:pPr>
        <w:autoSpaceDE w:val="0"/>
        <w:autoSpaceDN w:val="0"/>
        <w:adjustRightInd w:val="0"/>
      </w:pPr>
      <w:r w:rsidRPr="002B6A4E">
        <w:t xml:space="preserve">Le </w:t>
      </w:r>
      <w:r w:rsidRPr="006967D4">
        <w:rPr>
          <w:b/>
          <w:bCs/>
        </w:rPr>
        <w:t>potentiel net</w:t>
      </w:r>
      <w:r w:rsidRPr="002B6A4E">
        <w:t xml:space="preserve"> correspond à la mise en place de </w:t>
      </w:r>
      <w:r>
        <w:rPr>
          <w:b/>
          <w:bCs/>
        </w:rPr>
        <w:t>6 043</w:t>
      </w:r>
      <w:r w:rsidRPr="002B6A4E">
        <w:rPr>
          <w:b/>
          <w:bCs/>
        </w:rPr>
        <w:t xml:space="preserve"> </w:t>
      </w:r>
      <w:proofErr w:type="spellStart"/>
      <w:r w:rsidRPr="002B6A4E">
        <w:rPr>
          <w:b/>
          <w:bCs/>
        </w:rPr>
        <w:t>kW</w:t>
      </w:r>
      <w:r w:rsidRPr="002B6A4E">
        <w:rPr>
          <w:b/>
          <w:bCs/>
          <w:vertAlign w:val="subscript"/>
        </w:rPr>
        <w:t>C</w:t>
      </w:r>
      <w:proofErr w:type="spellEnd"/>
      <w:r w:rsidRPr="002B6A4E">
        <w:t xml:space="preserve"> de panneaux photovoltaïques en ombrière de parking, qui pourraient produire </w:t>
      </w:r>
      <w:r>
        <w:rPr>
          <w:b/>
          <w:bCs/>
        </w:rPr>
        <w:t>6 821</w:t>
      </w:r>
      <w:r w:rsidRPr="002B6A4E">
        <w:rPr>
          <w:b/>
          <w:bCs/>
        </w:rPr>
        <w:t xml:space="preserve"> MWh/an</w:t>
      </w:r>
      <w:r w:rsidRPr="002B6A4E">
        <w:t>.</w:t>
      </w:r>
    </w:p>
    <w:p w14:paraId="29993163" w14:textId="1B383C62" w:rsidR="00291EBE" w:rsidRDefault="000F57CC" w:rsidP="000F57CC">
      <w:pPr>
        <w:autoSpaceDE w:val="0"/>
        <w:autoSpaceDN w:val="0"/>
        <w:adjustRightInd w:val="0"/>
      </w:pPr>
      <w:r w:rsidRPr="002B6A4E">
        <w:t xml:space="preserve">Le potentiel net dit favorisé </w:t>
      </w:r>
      <w:r>
        <w:t xml:space="preserve">est </w:t>
      </w:r>
      <w:r w:rsidRPr="002B6A4E">
        <w:t xml:space="preserve">donc de </w:t>
      </w:r>
      <w:r w:rsidRPr="00A74BBE">
        <w:rPr>
          <w:b/>
          <w:bCs/>
        </w:rPr>
        <w:t>3 440</w:t>
      </w:r>
      <w:r w:rsidRPr="002B6A4E">
        <w:rPr>
          <w:b/>
          <w:bCs/>
        </w:rPr>
        <w:t xml:space="preserve"> kWc</w:t>
      </w:r>
      <w:r w:rsidRPr="002B6A4E">
        <w:t xml:space="preserve"> installé</w:t>
      </w:r>
      <w:r>
        <w:t>s</w:t>
      </w:r>
      <w:r w:rsidRPr="002B6A4E">
        <w:t xml:space="preserve">, qui pourront produire </w:t>
      </w:r>
      <w:r>
        <w:rPr>
          <w:b/>
          <w:bCs/>
        </w:rPr>
        <w:t>3 880</w:t>
      </w:r>
      <w:r w:rsidRPr="002B6A4E">
        <w:rPr>
          <w:b/>
          <w:bCs/>
        </w:rPr>
        <w:t xml:space="preserve"> MWh/an</w:t>
      </w:r>
      <w:r w:rsidR="00291EBE">
        <w:t>.</w:t>
      </w:r>
    </w:p>
    <w:p w14:paraId="09F8F8B0" w14:textId="77777777" w:rsidR="000F57CC" w:rsidRDefault="000F57CC" w:rsidP="000F57CC">
      <w:pPr>
        <w:autoSpaceDE w:val="0"/>
        <w:autoSpaceDN w:val="0"/>
        <w:adjustRightInd w:val="0"/>
      </w:pPr>
    </w:p>
    <w:p w14:paraId="2F692951" w14:textId="77777777" w:rsidR="000F57CC" w:rsidRPr="00907BE7" w:rsidRDefault="000F57CC" w:rsidP="00907BE7">
      <w:pPr>
        <w:pStyle w:val="Lgende"/>
        <w:jc w:val="center"/>
        <w:rPr>
          <w:b w:val="0"/>
          <w:bCs w:val="0"/>
          <w:i/>
          <w:iCs/>
          <w:color w:val="auto"/>
        </w:rPr>
      </w:pPr>
      <w:r w:rsidRPr="00907BE7">
        <w:rPr>
          <w:b w:val="0"/>
          <w:bCs w:val="0"/>
          <w:i/>
          <w:iCs/>
          <w:color w:val="auto"/>
        </w:rPr>
        <w:t xml:space="preserve"> </w:t>
      </w:r>
      <w:r w:rsidRPr="00907BE7">
        <w:rPr>
          <w:b w:val="0"/>
          <w:bCs w:val="0"/>
          <w:i/>
          <w:iCs/>
          <w:noProof/>
          <w:color w:val="auto"/>
        </w:rPr>
        <w:drawing>
          <wp:inline distT="0" distB="0" distL="0" distR="0" wp14:anchorId="7AA65D2F" wp14:editId="5B51CDAE">
            <wp:extent cx="4572000" cy="2743200"/>
            <wp:effectExtent l="0" t="0" r="0" b="0"/>
            <wp:docPr id="7180" name="Graphique 7180">
              <a:extLst xmlns:a="http://schemas.openxmlformats.org/drawingml/2006/main">
                <a:ext uri="{FF2B5EF4-FFF2-40B4-BE49-F238E27FC236}">
                  <a16:creationId xmlns:a16="http://schemas.microsoft.com/office/drawing/2014/main" id="{4BC9503F-45D3-E144-7595-4CBE6363A3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062D6CC" w14:textId="75F6B6A0" w:rsidR="000F57CC" w:rsidRDefault="000F57CC" w:rsidP="00291EBE">
      <w:pPr>
        <w:pStyle w:val="Lgende"/>
        <w:jc w:val="center"/>
      </w:pPr>
      <w:bookmarkStart w:id="110" w:name="_Toc126096838"/>
      <w:bookmarkStart w:id="111" w:name="_Toc129786576"/>
      <w:r>
        <w:t xml:space="preserve">Figure </w:t>
      </w:r>
      <w:r w:rsidR="00D56558">
        <w:fldChar w:fldCharType="begin"/>
      </w:r>
      <w:r w:rsidR="00D56558">
        <w:instrText xml:space="preserve"> SEQ Figure \* ARABIC </w:instrText>
      </w:r>
      <w:r w:rsidR="00D56558">
        <w:fldChar w:fldCharType="separate"/>
      </w:r>
      <w:r w:rsidR="00BA2D9B">
        <w:rPr>
          <w:noProof/>
        </w:rPr>
        <w:t>22</w:t>
      </w:r>
      <w:r w:rsidR="00D56558">
        <w:rPr>
          <w:noProof/>
        </w:rPr>
        <w:fldChar w:fldCharType="end"/>
      </w:r>
      <w:r>
        <w:t xml:space="preserve"> : Potentiel de production solaire PV en ombrières de parkings par commune</w:t>
      </w:r>
      <w:bookmarkEnd w:id="110"/>
      <w:bookmarkEnd w:id="111"/>
    </w:p>
    <w:p w14:paraId="41A85A6E" w14:textId="0E85F458" w:rsidR="005268B1" w:rsidRPr="00077DDD" w:rsidRDefault="000F57CC" w:rsidP="00077DDD">
      <w:pPr>
        <w:pStyle w:val="Lgende"/>
        <w:jc w:val="center"/>
        <w:rPr>
          <w:b w:val="0"/>
          <w:bCs w:val="0"/>
          <w:i/>
          <w:iCs/>
          <w:color w:val="auto"/>
        </w:rPr>
      </w:pPr>
      <w:r w:rsidRPr="00907BE7">
        <w:rPr>
          <w:b w:val="0"/>
          <w:bCs w:val="0"/>
          <w:i/>
          <w:iCs/>
          <w:color w:val="auto"/>
        </w:rPr>
        <w:t>Source : BD Topo et recensement des parkings par la CCHVC</w:t>
      </w:r>
      <w:bookmarkStart w:id="112" w:name="_Toc83706289"/>
    </w:p>
    <w:p w14:paraId="512B1F11" w14:textId="53676C08" w:rsidR="000F57CC" w:rsidRPr="009E2616" w:rsidRDefault="000F57CC" w:rsidP="00291EBE">
      <w:pPr>
        <w:pStyle w:val="Titre4"/>
        <w:rPr>
          <w:rFonts w:eastAsiaTheme="minorHAnsi"/>
          <w:lang w:val="en-US" w:bidi="en-US"/>
        </w:rPr>
      </w:pPr>
      <w:proofErr w:type="spellStart"/>
      <w:r w:rsidRPr="009E2616">
        <w:rPr>
          <w:rFonts w:eastAsiaTheme="minorHAnsi"/>
          <w:lang w:val="en-US" w:bidi="en-US"/>
        </w:rPr>
        <w:t>Centrales</w:t>
      </w:r>
      <w:proofErr w:type="spellEnd"/>
      <w:r w:rsidRPr="009E2616">
        <w:rPr>
          <w:rFonts w:eastAsiaTheme="minorHAnsi"/>
          <w:lang w:val="en-US" w:bidi="en-US"/>
        </w:rPr>
        <w:t xml:space="preserve"> au sol</w:t>
      </w:r>
      <w:bookmarkEnd w:id="112"/>
    </w:p>
    <w:p w14:paraId="229B3DA9" w14:textId="77777777" w:rsidR="007376C8" w:rsidRDefault="007376C8" w:rsidP="00291EBE">
      <w:pPr>
        <w:rPr>
          <w:rStyle w:val="Rfrencelgre"/>
        </w:rPr>
      </w:pPr>
    </w:p>
    <w:p w14:paraId="7E53B7C6" w14:textId="4F12E2FF" w:rsidR="000F57CC" w:rsidRPr="00291EBE" w:rsidRDefault="000F57CC" w:rsidP="00291EBE">
      <w:pPr>
        <w:rPr>
          <w:rStyle w:val="Rfrencelgre"/>
        </w:rPr>
      </w:pPr>
      <w:r w:rsidRPr="00291EBE">
        <w:rPr>
          <w:rStyle w:val="Rfrencelgre"/>
        </w:rPr>
        <w:t xml:space="preserve">Contraintes à prendre en compte </w:t>
      </w:r>
    </w:p>
    <w:p w14:paraId="5377B18D" w14:textId="75EED07C" w:rsidR="000F57CC" w:rsidRPr="00813B62" w:rsidRDefault="000F57CC" w:rsidP="000F57CC">
      <w:r w:rsidRPr="00813B62">
        <w:t xml:space="preserve">Les centrales au sol sont à implanter prioritairement sur des sites dégradés (friches industrielles, anciennes carrières et décharges), qui n’ont pas ou peu d’autres utilisations possibles. </w:t>
      </w:r>
    </w:p>
    <w:p w14:paraId="4DEA945F" w14:textId="03C4DE73" w:rsidR="000F57CC" w:rsidRPr="00D97581" w:rsidRDefault="000F57CC" w:rsidP="000F57CC">
      <w:pPr>
        <w:rPr>
          <w:highlight w:val="yellow"/>
        </w:rPr>
      </w:pPr>
      <w:r w:rsidRPr="00813B62">
        <w:t xml:space="preserve">Les zones de contraintes environnementales et paysagères sont également à prendre en compte. </w:t>
      </w:r>
      <w:r w:rsidR="00077DDD">
        <w:br/>
      </w:r>
      <w:r w:rsidRPr="00813B62">
        <w:t>La carte ci-dessous localise les zones de contraintes.</w:t>
      </w:r>
    </w:p>
    <w:p w14:paraId="3B4ACFB6" w14:textId="77777777" w:rsidR="000F57CC" w:rsidRPr="00D97581" w:rsidRDefault="000F57CC" w:rsidP="000F57CC">
      <w:pPr>
        <w:keepNext/>
        <w:jc w:val="center"/>
        <w:rPr>
          <w:highlight w:val="yellow"/>
        </w:rPr>
      </w:pPr>
      <w:r w:rsidRPr="00813B62">
        <w:rPr>
          <w:noProof/>
        </w:rPr>
        <w:drawing>
          <wp:inline distT="0" distB="0" distL="0" distR="0" wp14:anchorId="6C4C84EB" wp14:editId="4E941D1D">
            <wp:extent cx="5760720" cy="4065905"/>
            <wp:effectExtent l="0" t="0" r="0" b="0"/>
            <wp:docPr id="7178" name="Imag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4065905"/>
                    </a:xfrm>
                    <a:prstGeom prst="rect">
                      <a:avLst/>
                    </a:prstGeom>
                  </pic:spPr>
                </pic:pic>
              </a:graphicData>
            </a:graphic>
          </wp:inline>
        </w:drawing>
      </w:r>
    </w:p>
    <w:p w14:paraId="72A1FA89" w14:textId="6F0E3D3E" w:rsidR="005268B1" w:rsidRDefault="000F57CC" w:rsidP="005268B1">
      <w:pPr>
        <w:pStyle w:val="Lgende"/>
        <w:jc w:val="center"/>
        <w:rPr>
          <w:b w:val="0"/>
          <w:bCs w:val="0"/>
        </w:rPr>
      </w:pPr>
      <w:bookmarkStart w:id="113" w:name="_Toc126096839"/>
      <w:bookmarkStart w:id="114" w:name="_Toc129786577"/>
      <w:r w:rsidRPr="00DE1E6E">
        <w:t xml:space="preserve">Figure </w:t>
      </w:r>
      <w:r w:rsidR="00D56558">
        <w:fldChar w:fldCharType="begin"/>
      </w:r>
      <w:r w:rsidR="00D56558">
        <w:instrText xml:space="preserve"> SEQ Figure \* ARABIC </w:instrText>
      </w:r>
      <w:r w:rsidR="00D56558">
        <w:fldChar w:fldCharType="separate"/>
      </w:r>
      <w:r w:rsidR="00BA2D9B">
        <w:rPr>
          <w:noProof/>
        </w:rPr>
        <w:t>23</w:t>
      </w:r>
      <w:r w:rsidR="00D56558">
        <w:rPr>
          <w:noProof/>
        </w:rPr>
        <w:fldChar w:fldCharType="end"/>
      </w:r>
      <w:r w:rsidRPr="00DE1E6E">
        <w:t xml:space="preserve"> : Zones de contraintes sur la CC Haute Vallée de Chevreuse pour l'implantation de centrales au sol</w:t>
      </w:r>
      <w:bookmarkEnd w:id="114"/>
    </w:p>
    <w:p w14:paraId="26E5B311" w14:textId="5614C5A3" w:rsidR="000F57CC" w:rsidRPr="00907BE7" w:rsidRDefault="000F57CC" w:rsidP="005268B1">
      <w:pPr>
        <w:pStyle w:val="Lgende"/>
        <w:jc w:val="center"/>
        <w:rPr>
          <w:b w:val="0"/>
          <w:bCs w:val="0"/>
          <w:i/>
          <w:iCs/>
          <w:color w:val="auto"/>
        </w:rPr>
      </w:pPr>
      <w:r w:rsidRPr="00907BE7">
        <w:rPr>
          <w:b w:val="0"/>
          <w:bCs w:val="0"/>
          <w:i/>
          <w:iCs/>
          <w:color w:val="auto"/>
        </w:rPr>
        <w:t>Source : Inventaire National du Patrimoine Naturel (INPN)</w:t>
      </w:r>
      <w:bookmarkEnd w:id="113"/>
    </w:p>
    <w:p w14:paraId="55135290" w14:textId="38993AE3" w:rsidR="000F57CC" w:rsidRPr="005268B1" w:rsidRDefault="007376C8" w:rsidP="005268B1">
      <w:pPr>
        <w:rPr>
          <w:rStyle w:val="Rfrencelgre"/>
        </w:rPr>
      </w:pPr>
      <w:r>
        <w:rPr>
          <w:rStyle w:val="Rfrencelgre"/>
        </w:rPr>
        <w:br/>
      </w:r>
      <w:r w:rsidR="000F57CC" w:rsidRPr="005268B1">
        <w:rPr>
          <w:rStyle w:val="Rfrencelgre"/>
        </w:rPr>
        <w:t>Potentiels – Centrales au sol</w:t>
      </w:r>
    </w:p>
    <w:p w14:paraId="615351C6" w14:textId="77777777" w:rsidR="000F57CC" w:rsidRDefault="000F57CC" w:rsidP="000F57CC">
      <w:pPr>
        <w:spacing w:after="160" w:line="256" w:lineRule="auto"/>
      </w:pPr>
      <w:r w:rsidRPr="00347F23">
        <w:t xml:space="preserve">Le potentiel brut se base sur les surfaces des parcelles cadastrales correspondant à la localisation de </w:t>
      </w:r>
      <w:bookmarkStart w:id="115" w:name="_Hlk33446228"/>
      <w:bookmarkStart w:id="116" w:name="_Hlk33447193"/>
      <w:r w:rsidRPr="00347F23">
        <w:t xml:space="preserve">sites en friche issus des bases de données </w:t>
      </w:r>
      <w:r>
        <w:t xml:space="preserve">du CEREMA (ancien </w:t>
      </w:r>
      <w:proofErr w:type="spellStart"/>
      <w:r w:rsidRPr="00347F23">
        <w:t>Basias</w:t>
      </w:r>
      <w:proofErr w:type="spellEnd"/>
      <w:r w:rsidRPr="00347F23">
        <w:t xml:space="preserve"> et </w:t>
      </w:r>
      <w:proofErr w:type="spellStart"/>
      <w:r w:rsidRPr="00347F23">
        <w:t>Basol</w:t>
      </w:r>
      <w:proofErr w:type="spellEnd"/>
      <w:r>
        <w:t>)</w:t>
      </w:r>
      <w:r w:rsidRPr="00347F23">
        <w:t xml:space="preserve"> sur lesquels l’activité est terminée sans projet de réaménagement. L’analyse se base également sur d’autres sites identifiés sur </w:t>
      </w:r>
      <w:proofErr w:type="spellStart"/>
      <w:r w:rsidRPr="00347F23">
        <w:t>Cartofriches</w:t>
      </w:r>
      <w:proofErr w:type="spellEnd"/>
      <w:r w:rsidRPr="00347F23">
        <w:t xml:space="preserve"> (</w:t>
      </w:r>
      <w:hyperlink r:id="rId45" w:history="1">
        <w:r w:rsidRPr="00347F23">
          <w:rPr>
            <w:rStyle w:val="Lienhypertexte"/>
            <w:rFonts w:ascii="Calibri" w:hAnsi="Calibri"/>
          </w:rPr>
          <w:t>https://cartofriches.cerema.fr/cartofriches/</w:t>
        </w:r>
      </w:hyperlink>
      <w:r w:rsidRPr="00347F23">
        <w:t>)</w:t>
      </w:r>
      <w:bookmarkEnd w:id="115"/>
      <w:r w:rsidRPr="00347F23">
        <w:t xml:space="preserve"> ainsi que des sites qui ne sont pas susceptibles d’avoir déjà été pris en compte dans le potentiel PV sur bâtiment :  sites de traitement des dé</w:t>
      </w:r>
      <w:r>
        <w:t>chets, de mise en décharge, stations d’épuration, dépôts de ferraille, anciennes carrières…</w:t>
      </w:r>
    </w:p>
    <w:bookmarkEnd w:id="116"/>
    <w:p w14:paraId="7BBDE469" w14:textId="32968C30" w:rsidR="001D2ED5" w:rsidRDefault="000F57CC" w:rsidP="000F57CC">
      <w:pPr>
        <w:autoSpaceDE w:val="0"/>
        <w:autoSpaceDN w:val="0"/>
        <w:adjustRightInd w:val="0"/>
      </w:pPr>
      <w:r w:rsidRPr="00051B0E">
        <w:t xml:space="preserve">Il a été pris en compte un ratio de puissance de 1 </w:t>
      </w:r>
      <w:proofErr w:type="spellStart"/>
      <w:r w:rsidRPr="00051B0E">
        <w:t>MWc</w:t>
      </w:r>
      <w:proofErr w:type="spellEnd"/>
      <w:r w:rsidRPr="00051B0E">
        <w:t>/ha de surface au sol disponible</w:t>
      </w:r>
      <w:r w:rsidR="007376C8">
        <w:rPr>
          <w:rStyle w:val="Appelnotedebasdep"/>
        </w:rPr>
        <w:footnoteReference w:id="2"/>
      </w:r>
      <w:r w:rsidRPr="00051B0E">
        <w:t xml:space="preserve">. </w:t>
      </w:r>
    </w:p>
    <w:p w14:paraId="2B139F44" w14:textId="5506AA3E" w:rsidR="005268B1" w:rsidRDefault="000F57CC" w:rsidP="000F57CC">
      <w:pPr>
        <w:autoSpaceDE w:val="0"/>
        <w:autoSpaceDN w:val="0"/>
        <w:adjustRightInd w:val="0"/>
      </w:pPr>
      <w:r w:rsidRPr="00051B0E">
        <w:t>Le nombre de sites utilisables recensés sur BASIAS/BASOL est peu conséquent. Un seul site d’un hectare abritant un ancien bâtiment industriel (</w:t>
      </w:r>
      <w:proofErr w:type="spellStart"/>
      <w:r w:rsidRPr="00051B0E">
        <w:t>Marelli</w:t>
      </w:r>
      <w:proofErr w:type="spellEnd"/>
      <w:r w:rsidRPr="00051B0E">
        <w:t xml:space="preserve"> Automotive </w:t>
      </w:r>
      <w:proofErr w:type="spellStart"/>
      <w:r w:rsidRPr="00051B0E">
        <w:t>Lighting</w:t>
      </w:r>
      <w:proofErr w:type="spellEnd"/>
      <w:r w:rsidRPr="00051B0E">
        <w:t xml:space="preserve"> France) est identifié sur la commune du Mesnil-Saint-Denis. Ce site pourrait permettre l’installation d’une centrale au sol d’une puissance de 500 kW pour une production annuelle estimée de 0,5 GWh. Néanmoins, la présence d’un bâtiment sur le site rend l’utilisation de cet espace plus pertinente pour accueillir une activité économique</w:t>
      </w:r>
      <w:bookmarkStart w:id="117" w:name="_Hlk33447129"/>
      <w:r w:rsidRPr="00051B0E">
        <w:t xml:space="preserve">. </w:t>
      </w:r>
    </w:p>
    <w:p w14:paraId="44C3F1B5" w14:textId="2AD1C5C0" w:rsidR="000F57CC" w:rsidRDefault="000F57CC" w:rsidP="000F57CC">
      <w:pPr>
        <w:autoSpaceDE w:val="0"/>
        <w:autoSpaceDN w:val="0"/>
        <w:adjustRightInd w:val="0"/>
      </w:pPr>
      <w:r w:rsidRPr="00051B0E">
        <w:t xml:space="preserve">Le potentiel net d’installation de photovoltaïque au sol est donc considéré comme nul sur la CC Haute Vallée de Chevreuse. </w:t>
      </w:r>
    </w:p>
    <w:bookmarkEnd w:id="117"/>
    <w:p w14:paraId="5EC2F71C" w14:textId="77777777" w:rsidR="000F57CC" w:rsidRPr="00D97581" w:rsidRDefault="000F57CC" w:rsidP="005268B1">
      <w:pPr>
        <w:autoSpaceDE w:val="0"/>
        <w:autoSpaceDN w:val="0"/>
        <w:adjustRightInd w:val="0"/>
        <w:rPr>
          <w:highlight w:val="yellow"/>
        </w:rPr>
      </w:pPr>
    </w:p>
    <w:p w14:paraId="788EE8E0" w14:textId="77777777" w:rsidR="000F57CC" w:rsidRPr="009E2616" w:rsidRDefault="000F57CC" w:rsidP="005268B1">
      <w:pPr>
        <w:pStyle w:val="Titre4"/>
        <w:rPr>
          <w:rFonts w:eastAsiaTheme="minorHAnsi"/>
          <w:lang w:val="en-US" w:bidi="en-US"/>
        </w:rPr>
      </w:pPr>
      <w:bookmarkStart w:id="118" w:name="_Toc83706290"/>
      <w:proofErr w:type="spellStart"/>
      <w:r w:rsidRPr="009E2616">
        <w:rPr>
          <w:rFonts w:eastAsiaTheme="minorHAnsi"/>
          <w:lang w:val="en-US" w:bidi="en-US"/>
        </w:rPr>
        <w:t>Bilan</w:t>
      </w:r>
      <w:bookmarkEnd w:id="118"/>
      <w:proofErr w:type="spellEnd"/>
    </w:p>
    <w:p w14:paraId="1D88D54F" w14:textId="77777777" w:rsidR="000F57CC" w:rsidRPr="005268B1" w:rsidRDefault="000F57CC" w:rsidP="005268B1">
      <w:pPr>
        <w:rPr>
          <w:rStyle w:val="Rfrencelgre"/>
        </w:rPr>
      </w:pPr>
      <w:r w:rsidRPr="005268B1">
        <w:rPr>
          <w:rStyle w:val="Rfrencelgre"/>
        </w:rPr>
        <w:t>Potentiel brut</w:t>
      </w:r>
    </w:p>
    <w:p w14:paraId="256BFBF6" w14:textId="1E688962" w:rsidR="000F57CC" w:rsidRPr="00B837AC" w:rsidRDefault="000F57CC" w:rsidP="00EA1E3D">
      <w:pPr>
        <w:pStyle w:val="Lgende"/>
        <w:keepNext/>
        <w:jc w:val="center"/>
      </w:pPr>
      <w:bookmarkStart w:id="119" w:name="_Toc126093072"/>
      <w:r w:rsidRPr="00B837AC">
        <w:t xml:space="preserve">Tableau </w:t>
      </w:r>
      <w:r>
        <w:t>14</w:t>
      </w:r>
      <w:r w:rsidRPr="00B837AC">
        <w:t xml:space="preserve"> : Récapitulatif du potentiel brut de production électrique issue du photovoltaïque sur le territoire d’étude</w:t>
      </w:r>
      <w:bookmarkEnd w:id="119"/>
    </w:p>
    <w:tbl>
      <w:tblPr>
        <w:tblStyle w:val="AKAtab1"/>
        <w:tblW w:w="9062" w:type="dxa"/>
        <w:tblLook w:val="04A0" w:firstRow="1" w:lastRow="0" w:firstColumn="1" w:lastColumn="0" w:noHBand="0" w:noVBand="1"/>
      </w:tblPr>
      <w:tblGrid>
        <w:gridCol w:w="3539"/>
        <w:gridCol w:w="5523"/>
      </w:tblGrid>
      <w:tr w:rsidR="000F57CC" w:rsidRPr="00B837AC" w14:paraId="396013B7" w14:textId="77777777" w:rsidTr="005268B1">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3AADD20D" w14:textId="77777777" w:rsidR="000F57CC" w:rsidRPr="00B837AC" w:rsidRDefault="000F57CC" w:rsidP="00231BC1">
            <w:pPr>
              <w:ind w:right="4117"/>
              <w:jc w:val="left"/>
              <w:rPr>
                <w:rFonts w:eastAsia="Times New Roman" w:cs="Calibri"/>
                <w:b w:val="0"/>
                <w:bCs/>
                <w:color w:val="FFFFFF"/>
              </w:rPr>
            </w:pPr>
            <w:r w:rsidRPr="00B837AC">
              <w:rPr>
                <w:rFonts w:eastAsia="Times New Roman" w:cs="Calibri"/>
                <w:b w:val="0"/>
                <w:bCs/>
                <w:color w:val="FFFFFF"/>
              </w:rPr>
              <w:t>Filière : Photovoltaïque - Potentiel brut</w:t>
            </w:r>
          </w:p>
        </w:tc>
      </w:tr>
      <w:tr w:rsidR="005268B1" w:rsidRPr="00B837AC" w14:paraId="620A44B5" w14:textId="77777777" w:rsidTr="00231BC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19EADC18" w14:textId="77777777" w:rsidR="005268B1" w:rsidRPr="00B837AC" w:rsidRDefault="005268B1" w:rsidP="00231BC1">
            <w:pPr>
              <w:jc w:val="center"/>
              <w:rPr>
                <w:rFonts w:eastAsia="Times New Roman" w:cs="Calibri"/>
                <w:b/>
                <w:bCs/>
                <w:color w:val="000000"/>
              </w:rPr>
            </w:pPr>
            <w:r w:rsidRPr="00B837AC">
              <w:rPr>
                <w:rFonts w:eastAsia="Times New Roman" w:cs="Calibri"/>
                <w:b/>
                <w:bCs/>
                <w:color w:val="000000"/>
              </w:rPr>
              <w:t xml:space="preserve">CC </w:t>
            </w:r>
            <w:r>
              <w:rPr>
                <w:rFonts w:eastAsia="Times New Roman" w:cs="Calibri"/>
                <w:b/>
                <w:bCs/>
                <w:color w:val="000000"/>
              </w:rPr>
              <w:t>Haute Vallée de Chevreuse</w:t>
            </w:r>
          </w:p>
        </w:tc>
      </w:tr>
      <w:tr w:rsidR="000F57CC" w:rsidRPr="00B837AC" w14:paraId="0C45B671" w14:textId="77777777" w:rsidTr="005268B1">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3EFAB23D" w14:textId="77777777" w:rsidR="000F57CC" w:rsidRPr="00B837AC" w:rsidRDefault="000F57CC" w:rsidP="00231BC1">
            <w:pPr>
              <w:jc w:val="center"/>
              <w:rPr>
                <w:rFonts w:eastAsia="Times New Roman" w:cs="Calibri"/>
                <w:b/>
                <w:bCs/>
                <w:color w:val="000000"/>
              </w:rPr>
            </w:pPr>
            <w:r w:rsidRPr="00B837AC">
              <w:rPr>
                <w:rFonts w:eastAsia="Times New Roman" w:cs="Calibri"/>
                <w:b/>
                <w:bCs/>
                <w:color w:val="000000"/>
              </w:rPr>
              <w:t>Toitures</w:t>
            </w:r>
          </w:p>
        </w:tc>
        <w:tc>
          <w:tcPr>
            <w:tcW w:w="5523" w:type="dxa"/>
            <w:noWrap/>
          </w:tcPr>
          <w:p w14:paraId="3294A9E0" w14:textId="77777777" w:rsidR="000F57CC" w:rsidRPr="00B837AC" w:rsidRDefault="000F57CC"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eastAsia="Times New Roman" w:cs="Calibri"/>
                <w:color w:val="000000"/>
              </w:rPr>
              <w:t>73 700</w:t>
            </w:r>
            <w:r w:rsidRPr="00B837AC">
              <w:rPr>
                <w:rFonts w:eastAsia="Times New Roman" w:cs="Calibri"/>
                <w:color w:val="000000"/>
              </w:rPr>
              <w:t xml:space="preserve"> MWh</w:t>
            </w:r>
          </w:p>
        </w:tc>
      </w:tr>
      <w:tr w:rsidR="000F57CC" w:rsidRPr="00D97581" w14:paraId="60FE7EEC" w14:textId="77777777" w:rsidTr="005268B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974CC23" w14:textId="77777777" w:rsidR="000F57CC" w:rsidRPr="00B837AC" w:rsidRDefault="000F57CC" w:rsidP="00231BC1">
            <w:pPr>
              <w:jc w:val="center"/>
              <w:rPr>
                <w:rFonts w:eastAsia="Times New Roman" w:cs="Calibri"/>
                <w:b/>
                <w:bCs/>
                <w:color w:val="000000"/>
              </w:rPr>
            </w:pPr>
            <w:r w:rsidRPr="00B837AC">
              <w:rPr>
                <w:rFonts w:eastAsia="Times New Roman" w:cs="Calibri"/>
                <w:b/>
                <w:bCs/>
                <w:color w:val="000000"/>
              </w:rPr>
              <w:t>Ombrière de parking</w:t>
            </w:r>
          </w:p>
        </w:tc>
        <w:tc>
          <w:tcPr>
            <w:tcW w:w="5523" w:type="dxa"/>
            <w:noWrap/>
          </w:tcPr>
          <w:p w14:paraId="40C858AB" w14:textId="77777777" w:rsidR="000F57CC" w:rsidRPr="00B837AC" w:rsidRDefault="000F57CC"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eastAsia="Times New Roman" w:cs="Calibri"/>
                <w:color w:val="000000"/>
              </w:rPr>
              <w:t>14 761</w:t>
            </w:r>
            <w:r w:rsidRPr="00B837AC">
              <w:rPr>
                <w:rFonts w:eastAsia="Times New Roman" w:cs="Calibri"/>
                <w:color w:val="000000"/>
              </w:rPr>
              <w:t xml:space="preserve"> MWh</w:t>
            </w:r>
          </w:p>
        </w:tc>
      </w:tr>
      <w:tr w:rsidR="000F57CC" w:rsidRPr="00D97581" w14:paraId="3481D87C" w14:textId="77777777" w:rsidTr="005268B1">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E5805AB" w14:textId="77777777" w:rsidR="000F57CC" w:rsidRPr="00E82BE3" w:rsidRDefault="000F57CC" w:rsidP="00231BC1">
            <w:pPr>
              <w:jc w:val="center"/>
              <w:rPr>
                <w:rFonts w:eastAsia="Times New Roman" w:cs="Calibri"/>
                <w:b/>
                <w:bCs/>
                <w:color w:val="000000"/>
              </w:rPr>
            </w:pPr>
            <w:r w:rsidRPr="00E82BE3">
              <w:rPr>
                <w:rFonts w:eastAsia="Times New Roman" w:cs="Calibri"/>
                <w:b/>
                <w:bCs/>
                <w:color w:val="000000"/>
              </w:rPr>
              <w:t>Centrale au sol</w:t>
            </w:r>
          </w:p>
        </w:tc>
        <w:tc>
          <w:tcPr>
            <w:tcW w:w="5523" w:type="dxa"/>
            <w:noWrap/>
          </w:tcPr>
          <w:p w14:paraId="31DE341C" w14:textId="77777777" w:rsidR="000F57CC" w:rsidRPr="00E82BE3" w:rsidRDefault="000F57CC"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E82BE3">
              <w:rPr>
                <w:rFonts w:eastAsia="Times New Roman" w:cs="Calibri"/>
                <w:color w:val="000000"/>
              </w:rPr>
              <w:t xml:space="preserve"> </w:t>
            </w:r>
            <w:r>
              <w:rPr>
                <w:rFonts w:eastAsia="Times New Roman" w:cs="Calibri"/>
                <w:color w:val="000000"/>
              </w:rPr>
              <w:t>500</w:t>
            </w:r>
            <w:r w:rsidRPr="00E82BE3">
              <w:rPr>
                <w:rFonts w:eastAsia="Times New Roman" w:cs="Calibri"/>
                <w:color w:val="000000"/>
              </w:rPr>
              <w:t xml:space="preserve"> MWh</w:t>
            </w:r>
          </w:p>
        </w:tc>
      </w:tr>
    </w:tbl>
    <w:p w14:paraId="745ADD5E" w14:textId="77777777" w:rsidR="000F57CC" w:rsidRPr="00D97581" w:rsidRDefault="000F57CC" w:rsidP="000F57CC">
      <w:pPr>
        <w:rPr>
          <w:highlight w:val="yellow"/>
        </w:rPr>
      </w:pPr>
    </w:p>
    <w:p w14:paraId="5CEB548F" w14:textId="77777777" w:rsidR="000F57CC" w:rsidRPr="005268B1" w:rsidRDefault="000F57CC" w:rsidP="005268B1">
      <w:pPr>
        <w:rPr>
          <w:rStyle w:val="Rfrencelgre"/>
        </w:rPr>
      </w:pPr>
      <w:r w:rsidRPr="005268B1">
        <w:rPr>
          <w:rStyle w:val="Rfrencelgre"/>
        </w:rPr>
        <w:t>Potentiel net</w:t>
      </w:r>
    </w:p>
    <w:p w14:paraId="6E952C27" w14:textId="5E19FAC1" w:rsidR="000F57CC" w:rsidRPr="005268B1" w:rsidRDefault="000F57CC" w:rsidP="000F57CC">
      <w:pPr>
        <w:keepNext/>
        <w:autoSpaceDE w:val="0"/>
        <w:autoSpaceDN w:val="0"/>
        <w:adjustRightInd w:val="0"/>
        <w:rPr>
          <w:b/>
        </w:rPr>
      </w:pPr>
      <w:r w:rsidRPr="00897949">
        <w:t xml:space="preserve">Finalement, le potentiel net total de production d’électricité photovoltaïque est estimé à </w:t>
      </w:r>
      <w:r w:rsidRPr="00897949">
        <w:rPr>
          <w:b/>
        </w:rPr>
        <w:t>49 784</w:t>
      </w:r>
      <w:r w:rsidR="005268B1">
        <w:rPr>
          <w:b/>
        </w:rPr>
        <w:t xml:space="preserve"> MWh/an.</w:t>
      </w:r>
    </w:p>
    <w:p w14:paraId="00ED8852" w14:textId="793A0555" w:rsidR="000F57CC" w:rsidRDefault="000F57CC" w:rsidP="000F57CC">
      <w:pPr>
        <w:keepNext/>
        <w:autoSpaceDE w:val="0"/>
        <w:autoSpaceDN w:val="0"/>
        <w:adjustRightInd w:val="0"/>
      </w:pPr>
      <w:r w:rsidRPr="00B837AC">
        <w:t>La répartition par type de photovoltaïque est la suivante :</w:t>
      </w:r>
    </w:p>
    <w:p w14:paraId="41EB841E" w14:textId="77777777" w:rsidR="00077DDD" w:rsidRPr="00B837AC" w:rsidRDefault="00077DDD" w:rsidP="000F57CC">
      <w:pPr>
        <w:keepNext/>
        <w:autoSpaceDE w:val="0"/>
        <w:autoSpaceDN w:val="0"/>
        <w:adjustRightInd w:val="0"/>
      </w:pPr>
    </w:p>
    <w:p w14:paraId="3393681D" w14:textId="4CD88BCD" w:rsidR="000F57CC" w:rsidRPr="00B837AC" w:rsidRDefault="000F57CC" w:rsidP="00EA1E3D">
      <w:pPr>
        <w:pStyle w:val="Lgende"/>
        <w:keepNext/>
        <w:jc w:val="center"/>
      </w:pPr>
      <w:bookmarkStart w:id="120" w:name="_Toc126093073"/>
      <w:r w:rsidRPr="00B837AC">
        <w:t xml:space="preserve">Tableau </w:t>
      </w:r>
      <w:r>
        <w:t>15</w:t>
      </w:r>
      <w:r w:rsidRPr="00B837AC">
        <w:t xml:space="preserve"> : Récapitulatif du potentiel net de production électrique issue du photovoltaïque sur le territoire d’étude</w:t>
      </w:r>
      <w:bookmarkEnd w:id="120"/>
    </w:p>
    <w:tbl>
      <w:tblPr>
        <w:tblStyle w:val="AKAtab1"/>
        <w:tblW w:w="9062" w:type="dxa"/>
        <w:tblLook w:val="04A0" w:firstRow="1" w:lastRow="0" w:firstColumn="1" w:lastColumn="0" w:noHBand="0" w:noVBand="1"/>
      </w:tblPr>
      <w:tblGrid>
        <w:gridCol w:w="3539"/>
        <w:gridCol w:w="5523"/>
      </w:tblGrid>
      <w:tr w:rsidR="000F57CC" w:rsidRPr="00B837AC" w14:paraId="6682069C" w14:textId="77777777" w:rsidTr="005268B1">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390DEE76" w14:textId="77777777" w:rsidR="000F57CC" w:rsidRPr="00B837AC" w:rsidRDefault="000F57CC" w:rsidP="00231BC1">
            <w:pPr>
              <w:keepNext/>
              <w:ind w:right="4117"/>
              <w:jc w:val="left"/>
              <w:rPr>
                <w:rFonts w:eastAsia="Times New Roman" w:cs="Calibri"/>
                <w:b w:val="0"/>
                <w:bCs/>
                <w:color w:val="FFFFFF"/>
              </w:rPr>
            </w:pPr>
            <w:r w:rsidRPr="00B837AC">
              <w:rPr>
                <w:rFonts w:eastAsia="Times New Roman" w:cs="Calibri"/>
                <w:b w:val="0"/>
                <w:bCs/>
                <w:color w:val="FFFFFF"/>
              </w:rPr>
              <w:t xml:space="preserve">Filière : Photovoltaïque – Potentiel net </w:t>
            </w:r>
          </w:p>
        </w:tc>
      </w:tr>
      <w:tr w:rsidR="005268B1" w:rsidRPr="00B837AC" w14:paraId="23F9DF79" w14:textId="77777777" w:rsidTr="00231BC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4F023D63" w14:textId="77777777" w:rsidR="005268B1" w:rsidRPr="00B837AC" w:rsidRDefault="005268B1" w:rsidP="00231BC1">
            <w:pPr>
              <w:keepNext/>
              <w:jc w:val="center"/>
              <w:rPr>
                <w:rFonts w:eastAsia="Times New Roman" w:cs="Calibri"/>
                <w:b/>
                <w:bCs/>
                <w:color w:val="000000"/>
              </w:rPr>
            </w:pPr>
            <w:r w:rsidRPr="00B837AC">
              <w:rPr>
                <w:rFonts w:eastAsia="Times New Roman" w:cs="Calibri"/>
                <w:b/>
                <w:bCs/>
                <w:color w:val="000000"/>
              </w:rPr>
              <w:t xml:space="preserve">CC </w:t>
            </w:r>
            <w:r>
              <w:rPr>
                <w:rFonts w:eastAsia="Times New Roman" w:cs="Calibri"/>
                <w:b/>
                <w:bCs/>
                <w:color w:val="000000"/>
              </w:rPr>
              <w:t>Haute Vallée de Chevreuse</w:t>
            </w:r>
          </w:p>
        </w:tc>
      </w:tr>
      <w:tr w:rsidR="000F57CC" w:rsidRPr="00B837AC" w14:paraId="3AC149AC" w14:textId="77777777" w:rsidTr="005268B1">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43FEFCFF" w14:textId="77777777" w:rsidR="000F57CC" w:rsidRPr="00B837AC" w:rsidRDefault="000F57CC" w:rsidP="00231BC1">
            <w:pPr>
              <w:keepNext/>
              <w:jc w:val="center"/>
              <w:rPr>
                <w:rFonts w:eastAsia="Times New Roman" w:cs="Calibri"/>
                <w:b/>
                <w:bCs/>
                <w:color w:val="000000"/>
              </w:rPr>
            </w:pPr>
            <w:r w:rsidRPr="00B837AC">
              <w:rPr>
                <w:rFonts w:eastAsia="Times New Roman" w:cs="Calibri"/>
                <w:b/>
                <w:bCs/>
                <w:color w:val="000000"/>
              </w:rPr>
              <w:t>Toitures</w:t>
            </w:r>
          </w:p>
        </w:tc>
        <w:tc>
          <w:tcPr>
            <w:tcW w:w="5523" w:type="dxa"/>
            <w:noWrap/>
          </w:tcPr>
          <w:p w14:paraId="283CACE3" w14:textId="77777777" w:rsidR="000F57CC" w:rsidRPr="00B837AC" w:rsidRDefault="000F57CC" w:rsidP="00231BC1">
            <w:pPr>
              <w:keepNext/>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Pr>
                <w:rFonts w:eastAsia="Times New Roman" w:cs="Calibri"/>
                <w:b/>
                <w:bCs/>
                <w:color w:val="000000"/>
              </w:rPr>
              <w:t>42 962</w:t>
            </w:r>
            <w:r w:rsidRPr="00B837AC">
              <w:rPr>
                <w:rFonts w:eastAsia="Times New Roman" w:cs="Calibri"/>
                <w:b/>
                <w:bCs/>
                <w:color w:val="000000"/>
              </w:rPr>
              <w:t xml:space="preserve"> MWh</w:t>
            </w:r>
          </w:p>
        </w:tc>
      </w:tr>
      <w:tr w:rsidR="000F57CC" w:rsidRPr="00B837AC" w14:paraId="449D621C" w14:textId="77777777" w:rsidTr="005268B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43410B8" w14:textId="77777777" w:rsidR="000F57CC" w:rsidRPr="00B837AC" w:rsidRDefault="000F57CC" w:rsidP="00231BC1">
            <w:pPr>
              <w:keepNext/>
              <w:jc w:val="center"/>
              <w:rPr>
                <w:rFonts w:eastAsia="Times New Roman" w:cs="Calibri"/>
                <w:b/>
                <w:bCs/>
                <w:color w:val="000000"/>
              </w:rPr>
            </w:pPr>
            <w:r w:rsidRPr="00B837AC">
              <w:rPr>
                <w:rFonts w:eastAsia="Times New Roman" w:cs="Calibri"/>
                <w:b/>
                <w:bCs/>
                <w:color w:val="000000"/>
              </w:rPr>
              <w:t>Ombrières de parking</w:t>
            </w:r>
          </w:p>
        </w:tc>
        <w:tc>
          <w:tcPr>
            <w:tcW w:w="5523" w:type="dxa"/>
            <w:noWrap/>
          </w:tcPr>
          <w:p w14:paraId="7C723663" w14:textId="77777777" w:rsidR="000F57CC" w:rsidRPr="00B837AC" w:rsidRDefault="000F57CC" w:rsidP="00231BC1">
            <w:pPr>
              <w:keepNext/>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Pr>
                <w:rFonts w:eastAsia="Times New Roman" w:cs="Calibri"/>
                <w:b/>
                <w:bCs/>
                <w:color w:val="000000"/>
              </w:rPr>
              <w:t>6 821</w:t>
            </w:r>
            <w:r w:rsidRPr="00B837AC">
              <w:rPr>
                <w:rFonts w:eastAsia="Times New Roman" w:cs="Calibri"/>
                <w:b/>
                <w:bCs/>
                <w:color w:val="000000"/>
              </w:rPr>
              <w:t xml:space="preserve"> MWh</w:t>
            </w:r>
          </w:p>
        </w:tc>
      </w:tr>
      <w:tr w:rsidR="000F57CC" w:rsidRPr="00D97581" w14:paraId="35286B5B" w14:textId="77777777" w:rsidTr="005268B1">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4C9A69C" w14:textId="77777777" w:rsidR="000F57CC" w:rsidRPr="00B837AC" w:rsidRDefault="000F57CC" w:rsidP="00231BC1">
            <w:pPr>
              <w:keepNext/>
              <w:jc w:val="right"/>
              <w:rPr>
                <w:rFonts w:eastAsia="Times New Roman" w:cs="Calibri"/>
                <w:b/>
                <w:bCs/>
                <w:color w:val="000000"/>
              </w:rPr>
            </w:pPr>
            <w:r w:rsidRPr="00B837AC">
              <w:rPr>
                <w:rFonts w:eastAsia="Times New Roman" w:cs="Calibri"/>
                <w:i/>
                <w:iCs/>
                <w:color w:val="595959" w:themeColor="text1" w:themeTint="A6"/>
              </w:rPr>
              <w:t>Dont installation compliquée</w:t>
            </w:r>
          </w:p>
        </w:tc>
        <w:tc>
          <w:tcPr>
            <w:tcW w:w="5523" w:type="dxa"/>
            <w:noWrap/>
          </w:tcPr>
          <w:p w14:paraId="270991BB" w14:textId="77777777" w:rsidR="000F57CC" w:rsidRPr="00B837AC" w:rsidRDefault="000F57CC" w:rsidP="00231BC1">
            <w:pPr>
              <w:keepNext/>
              <w:jc w:val="center"/>
              <w:cnfStyle w:val="000000010000" w:firstRow="0" w:lastRow="0" w:firstColumn="0" w:lastColumn="0" w:oddVBand="0" w:evenVBand="0" w:oddHBand="0" w:evenHBand="1" w:firstRowFirstColumn="0" w:firstRowLastColumn="0" w:lastRowFirstColumn="0" w:lastRowLastColumn="0"/>
              <w:rPr>
                <w:rFonts w:eastAsia="Times New Roman" w:cs="Calibri"/>
                <w:i/>
                <w:iCs/>
                <w:color w:val="595959" w:themeColor="text1" w:themeTint="A6"/>
              </w:rPr>
            </w:pPr>
            <w:r>
              <w:rPr>
                <w:rFonts w:eastAsia="Times New Roman" w:cs="Calibri"/>
                <w:i/>
                <w:iCs/>
                <w:color w:val="595959" w:themeColor="text1" w:themeTint="A6"/>
              </w:rPr>
              <w:t>2 934</w:t>
            </w:r>
            <w:r w:rsidRPr="00B837AC">
              <w:rPr>
                <w:rFonts w:eastAsia="Times New Roman" w:cs="Calibri"/>
                <w:i/>
                <w:iCs/>
                <w:color w:val="595959" w:themeColor="text1" w:themeTint="A6"/>
              </w:rPr>
              <w:t xml:space="preserve"> MWh</w:t>
            </w:r>
          </w:p>
        </w:tc>
      </w:tr>
      <w:tr w:rsidR="000F57CC" w:rsidRPr="00D97581" w14:paraId="1E30F109" w14:textId="77777777" w:rsidTr="005268B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AAB5347" w14:textId="77777777" w:rsidR="000F57CC" w:rsidRPr="00E82BE3" w:rsidRDefault="000F57CC" w:rsidP="00231BC1">
            <w:pPr>
              <w:keepNext/>
              <w:jc w:val="center"/>
              <w:rPr>
                <w:rFonts w:eastAsia="Times New Roman" w:cs="Calibri"/>
                <w:b/>
                <w:bCs/>
                <w:color w:val="000000"/>
              </w:rPr>
            </w:pPr>
            <w:r w:rsidRPr="00E82BE3">
              <w:rPr>
                <w:rFonts w:eastAsia="Times New Roman" w:cs="Calibri"/>
                <w:b/>
                <w:bCs/>
                <w:color w:val="000000"/>
              </w:rPr>
              <w:t>Centrales au sol</w:t>
            </w:r>
          </w:p>
        </w:tc>
        <w:tc>
          <w:tcPr>
            <w:tcW w:w="5523" w:type="dxa"/>
            <w:noWrap/>
          </w:tcPr>
          <w:p w14:paraId="49A6C719" w14:textId="77777777" w:rsidR="000F57CC" w:rsidRPr="00E82BE3" w:rsidRDefault="000F57CC" w:rsidP="00231BC1">
            <w:pPr>
              <w:keepNext/>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E82BE3">
              <w:rPr>
                <w:rFonts w:eastAsia="Times New Roman" w:cs="Calibri"/>
                <w:color w:val="000000"/>
              </w:rPr>
              <w:t>0 MWh</w:t>
            </w:r>
          </w:p>
        </w:tc>
      </w:tr>
      <w:tr w:rsidR="000F57CC" w:rsidRPr="00D97581" w14:paraId="4BE0E2B1" w14:textId="77777777" w:rsidTr="005268B1">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569BAFC6" w14:textId="77777777" w:rsidR="000F57CC" w:rsidRPr="00E82BE3" w:rsidRDefault="000F57CC" w:rsidP="00231BC1">
            <w:pPr>
              <w:keepNext/>
              <w:jc w:val="center"/>
              <w:rPr>
                <w:rFonts w:eastAsia="Times New Roman" w:cs="Calibri"/>
                <w:b/>
                <w:bCs/>
                <w:color w:val="000000"/>
              </w:rPr>
            </w:pPr>
            <w:r w:rsidRPr="00E82BE3">
              <w:rPr>
                <w:rFonts w:eastAsia="Times New Roman" w:cs="Calibri"/>
                <w:b/>
                <w:bCs/>
                <w:color w:val="000000"/>
              </w:rPr>
              <w:t>Total</w:t>
            </w:r>
          </w:p>
        </w:tc>
        <w:tc>
          <w:tcPr>
            <w:tcW w:w="5523" w:type="dxa"/>
            <w:noWrap/>
          </w:tcPr>
          <w:p w14:paraId="2DB3200A" w14:textId="77777777" w:rsidR="000F57CC" w:rsidRPr="00E82BE3" w:rsidRDefault="000F57CC" w:rsidP="00231BC1">
            <w:pPr>
              <w:keepNext/>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rPr>
            </w:pPr>
            <w:r w:rsidRPr="00E82BE3">
              <w:rPr>
                <w:rFonts w:eastAsia="Times New Roman" w:cs="Calibri"/>
                <w:b/>
                <w:bCs/>
                <w:color w:val="000000"/>
              </w:rPr>
              <w:t>4</w:t>
            </w:r>
            <w:r>
              <w:rPr>
                <w:rFonts w:eastAsia="Times New Roman" w:cs="Calibri"/>
                <w:b/>
                <w:bCs/>
                <w:color w:val="000000"/>
              </w:rPr>
              <w:t>9</w:t>
            </w:r>
            <w:r w:rsidRPr="00E82BE3">
              <w:rPr>
                <w:rFonts w:eastAsia="Times New Roman" w:cs="Calibri"/>
                <w:b/>
                <w:bCs/>
                <w:color w:val="000000"/>
              </w:rPr>
              <w:t xml:space="preserve"> 7</w:t>
            </w:r>
            <w:r>
              <w:rPr>
                <w:rFonts w:eastAsia="Times New Roman" w:cs="Calibri"/>
                <w:b/>
                <w:bCs/>
                <w:color w:val="000000"/>
              </w:rPr>
              <w:t>84</w:t>
            </w:r>
            <w:r w:rsidRPr="00E82BE3">
              <w:rPr>
                <w:rFonts w:eastAsia="Times New Roman" w:cs="Calibri"/>
                <w:b/>
                <w:bCs/>
                <w:color w:val="000000"/>
              </w:rPr>
              <w:t xml:space="preserve"> MWh</w:t>
            </w:r>
          </w:p>
        </w:tc>
      </w:tr>
    </w:tbl>
    <w:p w14:paraId="0C50031F" w14:textId="77777777" w:rsidR="000F57CC" w:rsidRPr="00D97581" w:rsidRDefault="000F57CC" w:rsidP="000F57CC">
      <w:pPr>
        <w:rPr>
          <w:highlight w:val="yellow"/>
        </w:rPr>
      </w:pPr>
    </w:p>
    <w:p w14:paraId="74946552" w14:textId="45FFF5DE" w:rsidR="000F57CC" w:rsidRPr="00F16BFD" w:rsidRDefault="000F57CC" w:rsidP="005268B1">
      <w:pPr>
        <w:pStyle w:val="Titre4"/>
        <w:rPr>
          <w:rFonts w:eastAsiaTheme="minorHAnsi"/>
          <w:lang w:bidi="en-US"/>
        </w:rPr>
      </w:pPr>
      <w:r w:rsidRPr="00F16BFD">
        <w:rPr>
          <w:rFonts w:eastAsiaTheme="minorHAnsi"/>
          <w:lang w:bidi="en-US"/>
        </w:rPr>
        <w:t>Contraintes et préconisations liées à la mobilisation du potentiel</w:t>
      </w:r>
    </w:p>
    <w:p w14:paraId="7BFFE94E" w14:textId="77777777" w:rsidR="000F57CC" w:rsidRDefault="000F57CC" w:rsidP="000F57CC">
      <w:pPr>
        <w:keepNext/>
        <w:autoSpaceDE w:val="0"/>
        <w:autoSpaceDN w:val="0"/>
        <w:adjustRightInd w:val="0"/>
      </w:pPr>
    </w:p>
    <w:p w14:paraId="6802190C" w14:textId="379D286D" w:rsidR="005268B1" w:rsidRDefault="000F57CC" w:rsidP="000F57CC">
      <w:pPr>
        <w:keepNext/>
        <w:tabs>
          <w:tab w:val="num" w:pos="2160"/>
        </w:tabs>
        <w:autoSpaceDE w:val="0"/>
        <w:autoSpaceDN w:val="0"/>
        <w:adjustRightInd w:val="0"/>
        <w:rPr>
          <w:bCs/>
        </w:rPr>
      </w:pPr>
      <w:r w:rsidRPr="007F68B7">
        <w:rPr>
          <w:bCs/>
        </w:rPr>
        <w:t xml:space="preserve">Le </w:t>
      </w:r>
      <w:r>
        <w:rPr>
          <w:bCs/>
        </w:rPr>
        <w:t xml:space="preserve">potentiel photovoltaïque est l’un des potentiels </w:t>
      </w:r>
      <w:r w:rsidR="001D2ED5">
        <w:rPr>
          <w:bCs/>
        </w:rPr>
        <w:t>prioritaires</w:t>
      </w:r>
      <w:r>
        <w:rPr>
          <w:bCs/>
        </w:rPr>
        <w:t xml:space="preserve"> à mobiliser sur le territoire de la CC Haute Vallée de Chevreuse </w:t>
      </w:r>
      <w:r w:rsidR="00710CC3">
        <w:rPr>
          <w:bCs/>
        </w:rPr>
        <w:t xml:space="preserve">malgré son caractère diffus puisque la majeure partie de ce potentiel concerne les particuliers. </w:t>
      </w:r>
      <w:r w:rsidR="00A8644A">
        <w:rPr>
          <w:bCs/>
        </w:rPr>
        <w:br/>
      </w:r>
      <w:r w:rsidR="00710CC3">
        <w:rPr>
          <w:bCs/>
        </w:rPr>
        <w:t xml:space="preserve">Ce potentiel est prioritaire notamment </w:t>
      </w:r>
      <w:r w:rsidR="001D2ED5">
        <w:rPr>
          <w:bCs/>
        </w:rPr>
        <w:t xml:space="preserve">parce qu’il concerne l’ensemble des acteurs du territoire (entreprises, </w:t>
      </w:r>
      <w:r w:rsidR="001D2ED5">
        <w:rPr>
          <w:bCs/>
        </w:rPr>
        <w:lastRenderedPageBreak/>
        <w:t xml:space="preserve">bâtiments publics, particuliers) </w:t>
      </w:r>
      <w:r w:rsidR="00710CC3">
        <w:rPr>
          <w:bCs/>
        </w:rPr>
        <w:t>mais aussi</w:t>
      </w:r>
      <w:r w:rsidR="001D2ED5">
        <w:rPr>
          <w:bCs/>
        </w:rPr>
        <w:t xml:space="preserve"> parce qu’il </w:t>
      </w:r>
      <w:r w:rsidR="00710CC3">
        <w:rPr>
          <w:bCs/>
        </w:rPr>
        <w:t xml:space="preserve">permet la consommation de la </w:t>
      </w:r>
      <w:r w:rsidR="001D2ED5">
        <w:rPr>
          <w:bCs/>
        </w:rPr>
        <w:t xml:space="preserve">production en autoconsommation </w:t>
      </w:r>
      <w:r w:rsidR="00710CC3">
        <w:rPr>
          <w:bCs/>
        </w:rPr>
        <w:t>et ainsi de</w:t>
      </w:r>
      <w:r w:rsidR="001D2ED5">
        <w:rPr>
          <w:bCs/>
        </w:rPr>
        <w:t xml:space="preserve"> couvrir les besoins au plus près du point de consommation. </w:t>
      </w:r>
    </w:p>
    <w:p w14:paraId="3EB9660E" w14:textId="416CB6F5" w:rsidR="000F57CC" w:rsidRDefault="000F57CC" w:rsidP="000F57CC">
      <w:pPr>
        <w:keepNext/>
        <w:tabs>
          <w:tab w:val="num" w:pos="2160"/>
        </w:tabs>
        <w:autoSpaceDE w:val="0"/>
        <w:autoSpaceDN w:val="0"/>
        <w:adjustRightInd w:val="0"/>
      </w:pPr>
      <w:r>
        <w:rPr>
          <w:bCs/>
        </w:rPr>
        <w:t>Des études de structure</w:t>
      </w:r>
      <w:r w:rsidR="008F21FD">
        <w:rPr>
          <w:bCs/>
        </w:rPr>
        <w:t>,</w:t>
      </w:r>
      <w:r>
        <w:rPr>
          <w:bCs/>
        </w:rPr>
        <w:t xml:space="preserve"> voire des renforcements de charpente</w:t>
      </w:r>
      <w:r w:rsidR="008F21FD">
        <w:rPr>
          <w:bCs/>
        </w:rPr>
        <w:t>,</w:t>
      </w:r>
      <w:r>
        <w:rPr>
          <w:bCs/>
        </w:rPr>
        <w:t xml:space="preserve"> devront être réalisé</w:t>
      </w:r>
      <w:r w:rsidR="008F21FD">
        <w:rPr>
          <w:bCs/>
        </w:rPr>
        <w:t>e</w:t>
      </w:r>
      <w:r>
        <w:rPr>
          <w:bCs/>
        </w:rPr>
        <w:t>s dans le cadre de chacun des projets photovoltaïques afin de s’assurer de la résistance de la charpente envers la c</w:t>
      </w:r>
      <w:r w:rsidRPr="007F68B7">
        <w:t xml:space="preserve">harge </w:t>
      </w:r>
      <w:r>
        <w:t xml:space="preserve">supplémentaire imposées par les panneaux solaires. </w:t>
      </w:r>
      <w:r w:rsidRPr="007F68B7">
        <w:t xml:space="preserve"> </w:t>
      </w:r>
    </w:p>
    <w:p w14:paraId="698CEC78" w14:textId="02B3A1E2" w:rsidR="000F57CC" w:rsidRPr="007F68B7" w:rsidRDefault="000F57CC" w:rsidP="000F57CC">
      <w:pPr>
        <w:keepNext/>
        <w:tabs>
          <w:tab w:val="num" w:pos="2160"/>
        </w:tabs>
        <w:autoSpaceDE w:val="0"/>
        <w:autoSpaceDN w:val="0"/>
        <w:adjustRightInd w:val="0"/>
      </w:pPr>
      <w:r>
        <w:t xml:space="preserve">Concernant les projets d’installation de panneaux photovoltaïques soumis à avis des Architectes des Bâtiments de France (ABF), une directive nationale intervenant dans le cadre du projet de loi relatif </w:t>
      </w:r>
      <w:r w:rsidR="008F21FD">
        <w:t>à l’accélération</w:t>
      </w:r>
      <w:r>
        <w:t xml:space="preserve"> de la production d’énergies renouvelables devrait assouplir les autorisations pour certains projets. </w:t>
      </w:r>
    </w:p>
    <w:p w14:paraId="5E589913" w14:textId="77777777" w:rsidR="000F57CC" w:rsidRPr="007F68B7" w:rsidRDefault="000F57CC" w:rsidP="000F57CC">
      <w:pPr>
        <w:keepNext/>
        <w:autoSpaceDE w:val="0"/>
        <w:autoSpaceDN w:val="0"/>
        <w:adjustRightInd w:val="0"/>
        <w:rPr>
          <w:b/>
          <w:i/>
          <w:sz w:val="24"/>
        </w:rPr>
      </w:pPr>
    </w:p>
    <w:p w14:paraId="07F553CF" w14:textId="77777777" w:rsidR="000F57CC" w:rsidRPr="009E2616" w:rsidRDefault="000F57CC" w:rsidP="008A0F26">
      <w:pPr>
        <w:pStyle w:val="Titre2"/>
        <w:ind w:left="1996" w:hanging="578"/>
      </w:pPr>
      <w:bookmarkStart w:id="121" w:name="_Toc129784751"/>
      <w:r w:rsidRPr="009E2616">
        <w:t>L’hydroélectricité</w:t>
      </w:r>
      <w:bookmarkEnd w:id="121"/>
    </w:p>
    <w:p w14:paraId="426BBF73" w14:textId="50B04166" w:rsidR="000F57CC" w:rsidRDefault="000F57CC" w:rsidP="000F57CC">
      <w:r>
        <w:t>L’évaluation du potentiel de production hydroélectrique du territoire est estimée à partir des possibilités d’implantation de nouveaux ou</w:t>
      </w:r>
      <w:r w:rsidRPr="00E5789D">
        <w:t>vrages et d’augmentation de la puissance installée des équipements déjà en place.</w:t>
      </w:r>
    </w:p>
    <w:p w14:paraId="3A9C82F5" w14:textId="77777777" w:rsidR="000F57CC" w:rsidRDefault="000F57CC" w:rsidP="000F57CC">
      <w:r>
        <w:t>L’implantation de nouveaux ouvrages doit prendre en compte les contraintes suivantes :</w:t>
      </w:r>
    </w:p>
    <w:p w14:paraId="2158C53A" w14:textId="77777777" w:rsidR="000F57CC" w:rsidRPr="00F16BFD" w:rsidRDefault="000F57CC" w:rsidP="008A0F26">
      <w:pPr>
        <w:pStyle w:val="Paragraphedeliste"/>
        <w:numPr>
          <w:ilvl w:val="0"/>
          <w:numId w:val="3"/>
        </w:numPr>
        <w:spacing w:after="200" w:line="276" w:lineRule="auto"/>
      </w:pPr>
      <w:r w:rsidRPr="00F16BFD">
        <w:t>Contraintes techniques (présentées dans l’étude de l’Union Française de l’Electricité sur le potentiel d’optimisation ou de création de nouveaux ouvrages) ;</w:t>
      </w:r>
    </w:p>
    <w:p w14:paraId="6592FBD7" w14:textId="77777777" w:rsidR="000F57CC" w:rsidRPr="00F16BFD" w:rsidRDefault="000F57CC" w:rsidP="008A0F26">
      <w:pPr>
        <w:pStyle w:val="Paragraphedeliste"/>
        <w:numPr>
          <w:ilvl w:val="0"/>
          <w:numId w:val="3"/>
        </w:numPr>
        <w:spacing w:after="200" w:line="276" w:lineRule="auto"/>
      </w:pPr>
      <w:r w:rsidRPr="00F16BFD">
        <w:t>Contraintes réglementaires (classification des cours d’eau) ;</w:t>
      </w:r>
    </w:p>
    <w:p w14:paraId="52D442AB" w14:textId="77777777" w:rsidR="000F57CC" w:rsidRPr="00F16BFD" w:rsidRDefault="000F57CC" w:rsidP="008A0F26">
      <w:pPr>
        <w:pStyle w:val="Paragraphedeliste"/>
        <w:numPr>
          <w:ilvl w:val="0"/>
          <w:numId w:val="3"/>
        </w:numPr>
        <w:spacing w:after="200" w:line="276" w:lineRule="auto"/>
      </w:pPr>
      <w:r w:rsidRPr="00F16BFD">
        <w:t>Contraintes liées au changement climatique (baisse du débit des cours d’eau).</w:t>
      </w:r>
    </w:p>
    <w:p w14:paraId="340E729D" w14:textId="77777777" w:rsidR="000F57CC" w:rsidRDefault="000F57CC" w:rsidP="000F57CC">
      <w:r>
        <w:t>La réglementation des cours d’eau au titre de la continuité écologique prévoit un système de classement des cours d’eau en deux listes :</w:t>
      </w:r>
    </w:p>
    <w:p w14:paraId="294FB85E" w14:textId="77777777" w:rsidR="000F57CC" w:rsidRPr="00F16BFD" w:rsidRDefault="000F57CC" w:rsidP="008A0F26">
      <w:pPr>
        <w:pStyle w:val="Paragraphedeliste"/>
        <w:numPr>
          <w:ilvl w:val="0"/>
          <w:numId w:val="3"/>
        </w:numPr>
        <w:spacing w:after="200" w:line="276" w:lineRule="auto"/>
      </w:pPr>
      <w:r w:rsidRPr="00F16BFD">
        <w:rPr>
          <w:b/>
          <w:bCs/>
        </w:rPr>
        <w:t>Liste 1 :</w:t>
      </w:r>
      <w:r w:rsidRPr="00F16BFD">
        <w:t xml:space="preserve"> aucune autorisation ou concession ne peut être accordée pour la construction ne nouveaux ouvrages s’ils constituent un obstacle à la continuité écologique ;</w:t>
      </w:r>
    </w:p>
    <w:p w14:paraId="7260C4FD" w14:textId="77777777" w:rsidR="000F57CC" w:rsidRPr="00F16BFD" w:rsidRDefault="000F57CC" w:rsidP="008A0F26">
      <w:pPr>
        <w:pStyle w:val="Paragraphedeliste"/>
        <w:numPr>
          <w:ilvl w:val="0"/>
          <w:numId w:val="3"/>
        </w:numPr>
        <w:spacing w:after="200" w:line="276" w:lineRule="auto"/>
      </w:pPr>
      <w:r w:rsidRPr="00F16BFD">
        <w:rPr>
          <w:b/>
          <w:bCs/>
        </w:rPr>
        <w:t>Liste 2 :</w:t>
      </w:r>
      <w:r w:rsidRPr="00F16BFD">
        <w:t xml:space="preserve"> nécessité d’assurer le transport suffisant des sédiments et la circulation des poissons migrateurs. Tout ouvrage doit y être géré, entretenu et équipé selon des règles définies par l’autorité administrative.</w:t>
      </w:r>
    </w:p>
    <w:p w14:paraId="05720BC2" w14:textId="77777777" w:rsidR="000F57CC" w:rsidRDefault="000F57CC" w:rsidP="000F57CC">
      <w:pPr>
        <w:spacing w:after="160" w:line="256" w:lineRule="auto"/>
      </w:pPr>
      <w:r>
        <w:t xml:space="preserve">D’après l’étude des différentes contraintes applicables, le territoire </w:t>
      </w:r>
      <w:r>
        <w:rPr>
          <w:b/>
          <w:bCs/>
        </w:rPr>
        <w:t>ne possède pas de potentiel identifié pour l’installation de nouveaux ouvrages</w:t>
      </w:r>
      <w:r>
        <w:t>. En effet, aucun tronçon de cours d’eau favorable n’est identifié dans l’étude de l’UFE.</w:t>
      </w:r>
    </w:p>
    <w:p w14:paraId="0339D00C" w14:textId="77777777" w:rsidR="000F57CC" w:rsidRPr="007A227D" w:rsidRDefault="000F57CC" w:rsidP="007A227D">
      <w:pPr>
        <w:rPr>
          <w:rStyle w:val="Rfrencelgre"/>
        </w:rPr>
      </w:pPr>
      <w:r w:rsidRPr="007A227D">
        <w:rPr>
          <w:rStyle w:val="Rfrencelgre"/>
        </w:rPr>
        <w:t>Potentiel brut</w:t>
      </w:r>
    </w:p>
    <w:p w14:paraId="5BEF032C" w14:textId="03383EA8" w:rsidR="000F57CC" w:rsidRDefault="000F57CC" w:rsidP="000F57CC">
      <w:pPr>
        <w:spacing w:after="160" w:line="256" w:lineRule="auto"/>
      </w:pPr>
      <w:r>
        <w:t>Pour le territoire de la CC Haute Vallée de Chevreuse, aucun tronçon de cours d’eau n’est identifié dans l’étude précédemment citée. Il n’existe donc pas de potentiel significatif sur le territoire.</w:t>
      </w:r>
    </w:p>
    <w:p w14:paraId="1FC858A6" w14:textId="77777777" w:rsidR="00077DDD" w:rsidRDefault="00077DDD" w:rsidP="000F57CC">
      <w:pPr>
        <w:spacing w:after="160" w:line="256" w:lineRule="auto"/>
      </w:pPr>
    </w:p>
    <w:p w14:paraId="7B598C45" w14:textId="14C9D5ED" w:rsidR="000F57CC" w:rsidRPr="00861706" w:rsidRDefault="000F57CC" w:rsidP="00EA1E3D">
      <w:pPr>
        <w:pStyle w:val="Lgende"/>
        <w:keepNext/>
        <w:jc w:val="center"/>
      </w:pPr>
      <w:bookmarkStart w:id="122" w:name="_Toc126093074"/>
      <w:r w:rsidRPr="00861706">
        <w:t xml:space="preserve">Tableau </w:t>
      </w:r>
      <w:r>
        <w:t>16</w:t>
      </w:r>
      <w:r w:rsidRPr="00861706">
        <w:t xml:space="preserve"> : Récapitulatif du potentiel brut pour </w:t>
      </w:r>
      <w:r>
        <w:t>l’hydroélectricité</w:t>
      </w:r>
      <w:bookmarkEnd w:id="122"/>
    </w:p>
    <w:tbl>
      <w:tblPr>
        <w:tblStyle w:val="AKAtab1"/>
        <w:tblW w:w="9104" w:type="dxa"/>
        <w:tblLook w:val="04A0" w:firstRow="1" w:lastRow="0" w:firstColumn="1" w:lastColumn="0" w:noHBand="0" w:noVBand="1"/>
      </w:tblPr>
      <w:tblGrid>
        <w:gridCol w:w="3482"/>
        <w:gridCol w:w="2509"/>
        <w:gridCol w:w="3113"/>
      </w:tblGrid>
      <w:tr w:rsidR="000F57CC" w:rsidRPr="00861706" w14:paraId="51AB40E2" w14:textId="77777777" w:rsidTr="007A227D">
        <w:trPr>
          <w:cnfStyle w:val="100000000000" w:firstRow="1" w:lastRow="0" w:firstColumn="0" w:lastColumn="0" w:oddVBand="0" w:evenVBand="0" w:oddHBand="0"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9104" w:type="dxa"/>
            <w:gridSpan w:val="3"/>
            <w:noWrap/>
            <w:hideMark/>
          </w:tcPr>
          <w:p w14:paraId="35672961" w14:textId="40561C84" w:rsidR="000F57CC" w:rsidRPr="00861706" w:rsidRDefault="000F57CC" w:rsidP="007A227D">
            <w:pPr>
              <w:jc w:val="left"/>
              <w:rPr>
                <w:rFonts w:eastAsia="Times New Roman" w:cs="Calibri"/>
                <w:b w:val="0"/>
                <w:bCs/>
                <w:color w:val="FFFFFF"/>
              </w:rPr>
            </w:pPr>
            <w:r w:rsidRPr="00861706">
              <w:rPr>
                <w:rFonts w:eastAsia="Times New Roman" w:cs="Calibri"/>
                <w:b w:val="0"/>
                <w:bCs/>
                <w:color w:val="FFFFFF"/>
              </w:rPr>
              <w:t>Filière : Electricité à partir de</w:t>
            </w:r>
            <w:r w:rsidR="007A227D">
              <w:rPr>
                <w:rFonts w:eastAsia="Times New Roman" w:cs="Calibri"/>
                <w:b w:val="0"/>
                <w:bCs/>
                <w:color w:val="FFFFFF"/>
              </w:rPr>
              <w:t xml:space="preserve"> l’hydroélectricité</w:t>
            </w:r>
            <w:r w:rsidRPr="00861706">
              <w:rPr>
                <w:rFonts w:eastAsia="Times New Roman" w:cs="Calibri"/>
                <w:b w:val="0"/>
                <w:bCs/>
                <w:color w:val="FFFFFF"/>
              </w:rPr>
              <w:t xml:space="preserve"> </w:t>
            </w:r>
          </w:p>
        </w:tc>
      </w:tr>
      <w:tr w:rsidR="000F57CC" w:rsidRPr="00861706" w14:paraId="27596F9B" w14:textId="77777777" w:rsidTr="007A227D">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482" w:type="dxa"/>
            <w:noWrap/>
            <w:hideMark/>
          </w:tcPr>
          <w:p w14:paraId="31E5055B" w14:textId="4290BD63" w:rsidR="000F57CC" w:rsidRPr="00861706" w:rsidRDefault="000F57CC" w:rsidP="00231BC1">
            <w:pPr>
              <w:jc w:val="center"/>
              <w:rPr>
                <w:rFonts w:eastAsia="Times New Roman" w:cs="Calibri"/>
                <w:color w:val="000000"/>
              </w:rPr>
            </w:pPr>
            <w:r w:rsidRPr="00861706">
              <w:rPr>
                <w:rFonts w:eastAsia="Times New Roman" w:cs="Calibri"/>
                <w:color w:val="000000"/>
              </w:rPr>
              <w:t>Nombre d’</w:t>
            </w:r>
            <w:r w:rsidR="007A227D">
              <w:rPr>
                <w:rFonts w:eastAsia="Times New Roman" w:cs="Calibri"/>
                <w:color w:val="000000"/>
              </w:rPr>
              <w:t>installations</w:t>
            </w:r>
          </w:p>
        </w:tc>
        <w:tc>
          <w:tcPr>
            <w:tcW w:w="2509" w:type="dxa"/>
            <w:shd w:val="clear" w:color="auto" w:fill="FBE0DA" w:themeFill="accent2" w:themeFillTint="33"/>
            <w:noWrap/>
            <w:hideMark/>
          </w:tcPr>
          <w:p w14:paraId="3A0B3313" w14:textId="77777777" w:rsidR="000F57CC" w:rsidRPr="00861706" w:rsidRDefault="000F57CC"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861706">
              <w:rPr>
                <w:rFonts w:eastAsia="Times New Roman" w:cs="Calibri"/>
                <w:color w:val="000000"/>
              </w:rPr>
              <w:t>Puissance totale</w:t>
            </w:r>
          </w:p>
        </w:tc>
        <w:tc>
          <w:tcPr>
            <w:tcW w:w="3113" w:type="dxa"/>
            <w:shd w:val="clear" w:color="auto" w:fill="FBE0DA" w:themeFill="accent2" w:themeFillTint="33"/>
            <w:noWrap/>
            <w:hideMark/>
          </w:tcPr>
          <w:p w14:paraId="5AB33086" w14:textId="77777777" w:rsidR="000F57CC" w:rsidRPr="00861706" w:rsidRDefault="000F57CC" w:rsidP="00231BC1">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861706">
              <w:rPr>
                <w:rFonts w:eastAsia="Times New Roman" w:cs="Calibri"/>
                <w:color w:val="000000"/>
              </w:rPr>
              <w:t>Production annuelle</w:t>
            </w:r>
          </w:p>
        </w:tc>
      </w:tr>
      <w:tr w:rsidR="000F57CC" w:rsidRPr="00D97581" w14:paraId="27B1CC6A" w14:textId="77777777" w:rsidTr="007A227D">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482" w:type="dxa"/>
            <w:shd w:val="clear" w:color="auto" w:fill="auto"/>
            <w:noWrap/>
            <w:hideMark/>
          </w:tcPr>
          <w:p w14:paraId="2D1B4881" w14:textId="77777777" w:rsidR="000F57CC" w:rsidRPr="00861706" w:rsidRDefault="000F57CC" w:rsidP="00231BC1">
            <w:pPr>
              <w:jc w:val="center"/>
              <w:rPr>
                <w:rFonts w:eastAsia="Times New Roman" w:cs="Calibri"/>
                <w:color w:val="000000"/>
              </w:rPr>
            </w:pPr>
            <w:r>
              <w:rPr>
                <w:rFonts w:eastAsia="Times New Roman" w:cs="Calibri"/>
                <w:color w:val="000000"/>
              </w:rPr>
              <w:t>0</w:t>
            </w:r>
          </w:p>
        </w:tc>
        <w:tc>
          <w:tcPr>
            <w:tcW w:w="2509" w:type="dxa"/>
            <w:noWrap/>
            <w:hideMark/>
          </w:tcPr>
          <w:p w14:paraId="0AB94360" w14:textId="77777777" w:rsidR="000F57CC" w:rsidRPr="00861706" w:rsidRDefault="000F57CC"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861706">
              <w:rPr>
                <w:rFonts w:eastAsia="Times New Roman" w:cs="Calibri"/>
                <w:color w:val="000000"/>
              </w:rPr>
              <w:t>0 MW</w:t>
            </w:r>
          </w:p>
        </w:tc>
        <w:tc>
          <w:tcPr>
            <w:tcW w:w="3113" w:type="dxa"/>
            <w:noWrap/>
            <w:hideMark/>
          </w:tcPr>
          <w:p w14:paraId="005A6A6F" w14:textId="77777777" w:rsidR="000F57CC" w:rsidRPr="00861706" w:rsidRDefault="000F57CC"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861706">
              <w:rPr>
                <w:rFonts w:eastAsia="Times New Roman" w:cs="Calibri"/>
                <w:color w:val="000000"/>
              </w:rPr>
              <w:t>0 MWh</w:t>
            </w:r>
          </w:p>
        </w:tc>
      </w:tr>
    </w:tbl>
    <w:p w14:paraId="4369FF51" w14:textId="77777777" w:rsidR="000F57CC" w:rsidRDefault="000F57CC" w:rsidP="000F57CC"/>
    <w:p w14:paraId="352F8694" w14:textId="7B4AAF88" w:rsidR="00CD3156" w:rsidRDefault="00CD3156">
      <w:pPr>
        <w:spacing w:after="200" w:line="276" w:lineRule="auto"/>
        <w:jc w:val="left"/>
      </w:pPr>
      <w:r>
        <w:br w:type="page"/>
      </w:r>
    </w:p>
    <w:p w14:paraId="42680211" w14:textId="2B242244" w:rsidR="00CD3156" w:rsidRDefault="00CD3156" w:rsidP="008A0F26">
      <w:pPr>
        <w:pStyle w:val="Titre2"/>
        <w:ind w:left="1996" w:hanging="578"/>
      </w:pPr>
      <w:bookmarkStart w:id="123" w:name="_Toc129784752"/>
      <w:r>
        <w:lastRenderedPageBreak/>
        <w:t>Production de chaleur renouvelable</w:t>
      </w:r>
      <w:bookmarkEnd w:id="123"/>
    </w:p>
    <w:p w14:paraId="6CEE1180" w14:textId="77777777" w:rsidR="00CD3156" w:rsidRPr="009E2616" w:rsidRDefault="00CD3156" w:rsidP="002708C8">
      <w:pPr>
        <w:pStyle w:val="Titre3"/>
        <w:ind w:left="2818"/>
      </w:pPr>
      <w:bookmarkStart w:id="124" w:name="_Toc129784753"/>
      <w:r w:rsidRPr="009E2616">
        <w:t>Le solaire thermique</w:t>
      </w:r>
      <w:bookmarkEnd w:id="124"/>
      <w:r w:rsidRPr="009E2616">
        <w:t xml:space="preserve"> </w:t>
      </w:r>
    </w:p>
    <w:p w14:paraId="04225F27" w14:textId="77777777" w:rsidR="00CD3156" w:rsidRPr="00CD3156" w:rsidRDefault="00CD3156" w:rsidP="00CD3156">
      <w:pPr>
        <w:rPr>
          <w:rStyle w:val="Rfrencelgre"/>
        </w:rPr>
      </w:pPr>
      <w:bookmarkStart w:id="125" w:name="_Toc83706294"/>
      <w:r w:rsidRPr="00CD3156">
        <w:rPr>
          <w:rStyle w:val="Rfrencelgre"/>
        </w:rPr>
        <w:t>Méthodologie</w:t>
      </w:r>
      <w:bookmarkEnd w:id="125"/>
      <w:r w:rsidRPr="00CD3156">
        <w:rPr>
          <w:rStyle w:val="Rfrencelgre"/>
        </w:rPr>
        <w:t xml:space="preserve"> </w:t>
      </w:r>
    </w:p>
    <w:p w14:paraId="3278580B" w14:textId="44110CBC" w:rsidR="00CD3156" w:rsidRPr="00A926AA" w:rsidRDefault="00CD3156" w:rsidP="00CD3156">
      <w:r w:rsidRPr="00A926AA">
        <w:t xml:space="preserve">Le </w:t>
      </w:r>
      <w:r w:rsidRPr="00A926AA">
        <w:rPr>
          <w:b/>
          <w:bCs/>
        </w:rPr>
        <w:t>potentiel solaire thermique brut</w:t>
      </w:r>
      <w:r w:rsidRPr="00A926AA">
        <w:t xml:space="preserve"> est estimé en prenant en compte les surfaces de toitures du territoire (surfaces identifiées dans le potentiel brut du solaire photovoltaïque) et l’irradiation moyenne annuelle. Les hypothèses considérées pour l’évaluation du potentiel </w:t>
      </w:r>
      <w:r>
        <w:t>brut sont détaillées en annexe.</w:t>
      </w:r>
    </w:p>
    <w:p w14:paraId="37F99BD4" w14:textId="5D2261C3" w:rsidR="00CD3156" w:rsidRPr="00A926AA" w:rsidRDefault="00CD3156" w:rsidP="00CD3156">
      <w:r w:rsidRPr="00A926AA">
        <w:t xml:space="preserve">Le solaire thermique est utilisé principalement pour satisfaire les besoins en eau chaude sanitaire (ECS). Le potentiel de production du solaire thermique est donc limité aux besoins en ECS et le </w:t>
      </w:r>
      <w:r w:rsidRPr="00A926AA">
        <w:rPr>
          <w:b/>
          <w:bCs/>
        </w:rPr>
        <w:t>potentiel net</w:t>
      </w:r>
      <w:r w:rsidRPr="00A926AA">
        <w:t xml:space="preserve"> est estimé à partir de la part de besoin en eau chaude sanitaire qu’il pourrait couvrir. </w:t>
      </w:r>
    </w:p>
    <w:p w14:paraId="7DDBE7B5" w14:textId="77777777" w:rsidR="00CD3156" w:rsidRPr="00A926AA" w:rsidRDefault="00CD3156" w:rsidP="00CD3156">
      <w:r w:rsidRPr="00A926AA">
        <w:t>Il a été pris en compte les consommations en eau chaude sanitaire suivantes</w:t>
      </w:r>
      <w:r w:rsidRPr="00A926AA">
        <w:rPr>
          <w:rStyle w:val="Appelnotedebasdep"/>
        </w:rPr>
        <w:footnoteReference w:id="3"/>
      </w:r>
      <w:r w:rsidRPr="00A926AA">
        <w:t xml:space="preserve"> : </w:t>
      </w:r>
    </w:p>
    <w:p w14:paraId="785506D5" w14:textId="77777777" w:rsidR="00CD3156" w:rsidRPr="00A926AA" w:rsidRDefault="00CD3156" w:rsidP="008A0F26">
      <w:pPr>
        <w:pStyle w:val="Paragraphedeliste"/>
        <w:numPr>
          <w:ilvl w:val="0"/>
          <w:numId w:val="3"/>
        </w:numPr>
        <w:spacing w:before="120" w:line="276" w:lineRule="auto"/>
      </w:pPr>
      <w:r w:rsidRPr="00A926AA">
        <w:t>Des piscines</w:t>
      </w:r>
    </w:p>
    <w:p w14:paraId="70F411C9" w14:textId="77777777" w:rsidR="00CD3156" w:rsidRPr="00A926AA" w:rsidRDefault="00CD3156" w:rsidP="008A0F26">
      <w:pPr>
        <w:pStyle w:val="Paragraphedeliste"/>
        <w:numPr>
          <w:ilvl w:val="0"/>
          <w:numId w:val="3"/>
        </w:numPr>
        <w:spacing w:before="120" w:line="276" w:lineRule="auto"/>
      </w:pPr>
      <w:r w:rsidRPr="00A926AA">
        <w:t>Des hôpitaux</w:t>
      </w:r>
    </w:p>
    <w:p w14:paraId="5E5B4853" w14:textId="77777777" w:rsidR="00CD3156" w:rsidRPr="00A926AA" w:rsidRDefault="00CD3156" w:rsidP="008A0F26">
      <w:pPr>
        <w:pStyle w:val="Paragraphedeliste"/>
        <w:numPr>
          <w:ilvl w:val="0"/>
          <w:numId w:val="3"/>
        </w:numPr>
        <w:spacing w:before="120" w:line="276" w:lineRule="auto"/>
      </w:pPr>
      <w:r w:rsidRPr="00A926AA">
        <w:t>Des EHPAD</w:t>
      </w:r>
    </w:p>
    <w:p w14:paraId="6EF27F2D" w14:textId="77777777" w:rsidR="00CD3156" w:rsidRPr="00A926AA" w:rsidRDefault="00CD3156" w:rsidP="008A0F26">
      <w:pPr>
        <w:pStyle w:val="Paragraphedeliste"/>
        <w:numPr>
          <w:ilvl w:val="0"/>
          <w:numId w:val="3"/>
        </w:numPr>
        <w:spacing w:before="120" w:line="276" w:lineRule="auto"/>
      </w:pPr>
      <w:r w:rsidRPr="00A926AA">
        <w:t>Des hôtels</w:t>
      </w:r>
    </w:p>
    <w:p w14:paraId="6805D82F" w14:textId="77777777" w:rsidR="00CD3156" w:rsidRPr="00F16BFD" w:rsidRDefault="00CD3156" w:rsidP="008A0F26">
      <w:pPr>
        <w:pStyle w:val="Paragraphedeliste"/>
        <w:numPr>
          <w:ilvl w:val="0"/>
          <w:numId w:val="3"/>
        </w:numPr>
        <w:spacing w:before="120" w:line="276" w:lineRule="auto"/>
      </w:pPr>
      <w:r w:rsidRPr="00F16BFD">
        <w:t>Des particuliers (habitat collectif et individuel).</w:t>
      </w:r>
    </w:p>
    <w:p w14:paraId="3A0175CA" w14:textId="76818D70" w:rsidR="00CD3156" w:rsidRPr="00CD3156" w:rsidRDefault="00CD3156" w:rsidP="00CD3156">
      <w:pPr>
        <w:rPr>
          <w:highlight w:val="yellow"/>
        </w:rPr>
      </w:pPr>
      <w:r w:rsidRPr="004C577C">
        <w:t xml:space="preserve">La méthode d’évaluation des consommations et de la production est disponible en annexe. </w:t>
      </w:r>
      <w:r>
        <w:rPr>
          <w:highlight w:val="yellow"/>
        </w:rPr>
        <w:br/>
      </w:r>
      <w:r w:rsidRPr="005C7BA2">
        <w:rPr>
          <w:b/>
          <w:bCs/>
        </w:rPr>
        <w:t>Le potentiel de production net de chaleur</w:t>
      </w:r>
      <w:r w:rsidRPr="005C7BA2">
        <w:t xml:space="preserve"> à partir de solaire thermique est estimé à </w:t>
      </w:r>
      <w:r w:rsidRPr="005C7BA2">
        <w:rPr>
          <w:b/>
          <w:bCs/>
        </w:rPr>
        <w:t>11 040</w:t>
      </w:r>
      <w:r w:rsidRPr="005C7BA2">
        <w:t> </w:t>
      </w:r>
      <w:r w:rsidRPr="005C7BA2">
        <w:rPr>
          <w:b/>
          <w:bCs/>
        </w:rPr>
        <w:t>MWh/an</w:t>
      </w:r>
      <w:r w:rsidRPr="005C7BA2">
        <w:t xml:space="preserve"> sur le territoire de la communauté de communes, soit un besoin de </w:t>
      </w:r>
      <w:r w:rsidRPr="005C7BA2">
        <w:rPr>
          <w:b/>
          <w:bCs/>
        </w:rPr>
        <w:t>32 520 m²</w:t>
      </w:r>
      <w:r w:rsidRPr="005C7BA2">
        <w:t xml:space="preserve"> de panneaux positionnés en toitur</w:t>
      </w:r>
      <w:r>
        <w:t xml:space="preserve">e. </w:t>
      </w:r>
      <w:r w:rsidRPr="005C7BA2">
        <w:t>La répartition de cette surface par type de consommateurs est décrite par la figure ci-dessous.</w:t>
      </w:r>
      <w:r w:rsidR="00710CC3">
        <w:br/>
      </w:r>
    </w:p>
    <w:p w14:paraId="6510A517" w14:textId="77777777" w:rsidR="00CD3156" w:rsidRDefault="00CD3156" w:rsidP="00CD3156">
      <w:pPr>
        <w:keepNext/>
        <w:jc w:val="center"/>
      </w:pPr>
      <w:r>
        <w:rPr>
          <w:noProof/>
        </w:rPr>
        <w:drawing>
          <wp:inline distT="0" distB="0" distL="0" distR="0" wp14:anchorId="1335452F" wp14:editId="7B9E4D6C">
            <wp:extent cx="4909820" cy="2743200"/>
            <wp:effectExtent l="0" t="0" r="17780" b="0"/>
            <wp:docPr id="7181" name="Graphique 7181">
              <a:extLst xmlns:a="http://schemas.openxmlformats.org/drawingml/2006/main">
                <a:ext uri="{FF2B5EF4-FFF2-40B4-BE49-F238E27FC236}">
                  <a16:creationId xmlns:a16="http://schemas.microsoft.com/office/drawing/2014/main" id="{FDE3CF3F-D0E6-F6B2-E1CE-1CB072797A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A9A53F9" w14:textId="7EF33538" w:rsidR="00CD3156" w:rsidRPr="00EF26C7" w:rsidRDefault="00CD3156" w:rsidP="00CD3156">
      <w:pPr>
        <w:pStyle w:val="Lgende"/>
        <w:jc w:val="center"/>
        <w:rPr>
          <w:highlight w:val="yellow"/>
        </w:rPr>
      </w:pPr>
      <w:bookmarkStart w:id="126" w:name="_Toc126096840"/>
      <w:bookmarkStart w:id="127" w:name="_Toc129786578"/>
      <w:r>
        <w:t xml:space="preserve">Figure </w:t>
      </w:r>
      <w:r w:rsidR="00D56558">
        <w:fldChar w:fldCharType="begin"/>
      </w:r>
      <w:r w:rsidR="00D56558">
        <w:instrText xml:space="preserve"> SEQ Figure \* ARABIC </w:instrText>
      </w:r>
      <w:r w:rsidR="00D56558">
        <w:fldChar w:fldCharType="separate"/>
      </w:r>
      <w:r w:rsidR="00BA2D9B">
        <w:rPr>
          <w:noProof/>
        </w:rPr>
        <w:t>24</w:t>
      </w:r>
      <w:r w:rsidR="00D56558">
        <w:rPr>
          <w:noProof/>
        </w:rPr>
        <w:fldChar w:fldCharType="end"/>
      </w:r>
      <w:r>
        <w:t xml:space="preserve"> </w:t>
      </w:r>
      <w:r w:rsidRPr="00320C4A">
        <w:t>: Surfaces considérées pour l’installation de solaire thermique par type de consommateur (m²)</w:t>
      </w:r>
      <w:bookmarkEnd w:id="126"/>
      <w:bookmarkEnd w:id="127"/>
    </w:p>
    <w:p w14:paraId="5E0841E4" w14:textId="2CB80CB6" w:rsidR="00CD3156" w:rsidRPr="00907BE7" w:rsidRDefault="00CD3156" w:rsidP="00907BE7">
      <w:pPr>
        <w:pStyle w:val="Lgende"/>
        <w:jc w:val="center"/>
        <w:rPr>
          <w:b w:val="0"/>
          <w:bCs w:val="0"/>
          <w:i/>
          <w:iCs/>
          <w:color w:val="auto"/>
        </w:rPr>
      </w:pPr>
      <w:r w:rsidRPr="00907BE7">
        <w:rPr>
          <w:b w:val="0"/>
          <w:bCs w:val="0"/>
          <w:i/>
          <w:iCs/>
          <w:color w:val="auto"/>
        </w:rPr>
        <w:t xml:space="preserve">Source : INSEE, IGN (BD Topo), Recensement </w:t>
      </w:r>
      <w:proofErr w:type="spellStart"/>
      <w:r w:rsidRPr="00907BE7">
        <w:rPr>
          <w:b w:val="0"/>
          <w:bCs w:val="0"/>
          <w:i/>
          <w:iCs/>
          <w:color w:val="auto"/>
        </w:rPr>
        <w:t>Akajoule</w:t>
      </w:r>
      <w:proofErr w:type="spellEnd"/>
      <w:r w:rsidRPr="00907BE7">
        <w:rPr>
          <w:b w:val="0"/>
          <w:bCs w:val="0"/>
          <w:i/>
          <w:iCs/>
          <w:color w:val="auto"/>
        </w:rPr>
        <w:t xml:space="preserve"> des équipements du territoire</w:t>
      </w:r>
    </w:p>
    <w:p w14:paraId="2BCC5A51" w14:textId="77777777" w:rsidR="00CD3156" w:rsidRPr="00CD3156" w:rsidRDefault="00CD3156" w:rsidP="00CD3156">
      <w:pPr>
        <w:jc w:val="center"/>
        <w:rPr>
          <w:sz w:val="20"/>
        </w:rPr>
      </w:pPr>
    </w:p>
    <w:p w14:paraId="7DD4BB37" w14:textId="77777777" w:rsidR="00CD3156" w:rsidRPr="005C7BA2" w:rsidRDefault="00CD3156" w:rsidP="00CD3156">
      <w:r w:rsidRPr="005C7BA2">
        <w:t>Environ 405 968 m² de surfaces disponibles en toiture ont été déterminées dans la partie concernant le solaire photovoltaïque sur bâtiments.</w:t>
      </w:r>
    </w:p>
    <w:p w14:paraId="123CB0F5" w14:textId="0E8A60C8" w:rsidR="00CD3156" w:rsidRPr="00CD3156" w:rsidRDefault="00CD3156" w:rsidP="00CD3156">
      <w:r w:rsidRPr="005C7BA2">
        <w:lastRenderedPageBreak/>
        <w:t xml:space="preserve">La surface disponible en toiture est </w:t>
      </w:r>
      <w:r>
        <w:t xml:space="preserve">donc </w:t>
      </w:r>
      <w:r w:rsidRPr="005C7BA2">
        <w:t xml:space="preserve">largement supérieure à la surface nécessaire pour répondre aux besoins de consommation d’eau chaude sanitaire exposés ci-dessus. </w:t>
      </w:r>
      <w:r>
        <w:t>Cette surface ne représenterait que 8% de la surface totale de toitures identifiées sur le territoire.</w:t>
      </w:r>
    </w:p>
    <w:p w14:paraId="3D5D632C" w14:textId="77777777" w:rsidR="00CD3156" w:rsidRPr="00CD3156" w:rsidRDefault="00CD3156" w:rsidP="00CD3156">
      <w:pPr>
        <w:rPr>
          <w:rStyle w:val="Rfrencelgre"/>
        </w:rPr>
      </w:pPr>
      <w:bookmarkStart w:id="128" w:name="_Toc83706295"/>
      <w:r w:rsidRPr="00CD3156">
        <w:rPr>
          <w:rStyle w:val="Rfrencelgre"/>
        </w:rPr>
        <w:t>Résultats</w:t>
      </w:r>
      <w:bookmarkEnd w:id="128"/>
      <w:r w:rsidRPr="00CD3156">
        <w:rPr>
          <w:rStyle w:val="Rfrencelgre"/>
        </w:rPr>
        <w:t xml:space="preserve">  </w:t>
      </w:r>
    </w:p>
    <w:p w14:paraId="509A61C4" w14:textId="3B9F4EED" w:rsidR="00CD3156" w:rsidRDefault="00CD3156" w:rsidP="00CD3156">
      <w:r w:rsidRPr="00515448">
        <w:t>Ainsi, le potentiel total de production d’énergie issue du solaire thermique</w:t>
      </w:r>
      <w:r>
        <w:t xml:space="preserve"> </w:t>
      </w:r>
      <w:r w:rsidRPr="00515448">
        <w:rPr>
          <w:b/>
          <w:bCs/>
        </w:rPr>
        <w:t>brut</w:t>
      </w:r>
      <w:r w:rsidRPr="00515448">
        <w:t xml:space="preserve"> est estimé à environ </w:t>
      </w:r>
      <w:r w:rsidRPr="00515448">
        <w:rPr>
          <w:b/>
          <w:bCs/>
        </w:rPr>
        <w:t>42 962 MWh</w:t>
      </w:r>
      <w:r w:rsidRPr="00515448">
        <w:t xml:space="preserve"> </w:t>
      </w:r>
      <w:r w:rsidRPr="00515448">
        <w:rPr>
          <w:b/>
        </w:rPr>
        <w:t>/an</w:t>
      </w:r>
      <w:r w:rsidRPr="00515448">
        <w:rPr>
          <w:bCs/>
        </w:rPr>
        <w:t xml:space="preserve">, et le potentiel solaire thermique </w:t>
      </w:r>
      <w:r w:rsidRPr="00515448">
        <w:rPr>
          <w:b/>
        </w:rPr>
        <w:t>net</w:t>
      </w:r>
      <w:r w:rsidRPr="00515448">
        <w:rPr>
          <w:bCs/>
        </w:rPr>
        <w:t xml:space="preserve"> est estimé à</w:t>
      </w:r>
      <w:r w:rsidRPr="00515448">
        <w:rPr>
          <w:b/>
        </w:rPr>
        <w:t xml:space="preserve"> </w:t>
      </w:r>
      <w:r w:rsidRPr="00515448">
        <w:rPr>
          <w:b/>
          <w:bCs/>
        </w:rPr>
        <w:t>11 040</w:t>
      </w:r>
      <w:r w:rsidRPr="00515448">
        <w:t> </w:t>
      </w:r>
      <w:r w:rsidRPr="00515448">
        <w:rPr>
          <w:b/>
          <w:bCs/>
        </w:rPr>
        <w:t>MWh/an</w:t>
      </w:r>
      <w:r w:rsidRPr="00515448">
        <w:t xml:space="preserve">. </w:t>
      </w:r>
    </w:p>
    <w:p w14:paraId="69A3A5FF" w14:textId="77777777" w:rsidR="00077DDD" w:rsidRPr="00CD3156" w:rsidRDefault="00077DDD" w:rsidP="00CD3156"/>
    <w:p w14:paraId="5EB440EB" w14:textId="292FBE14" w:rsidR="00CD3156" w:rsidRPr="00320C4A" w:rsidRDefault="00CD3156" w:rsidP="00EA1E3D">
      <w:pPr>
        <w:pStyle w:val="Lgende"/>
        <w:keepNext/>
        <w:jc w:val="center"/>
      </w:pPr>
      <w:bookmarkStart w:id="129" w:name="_Toc126093075"/>
      <w:r w:rsidRPr="00320C4A">
        <w:t xml:space="preserve">Tableau </w:t>
      </w:r>
      <w:r>
        <w:t>17</w:t>
      </w:r>
      <w:r w:rsidRPr="00320C4A">
        <w:t xml:space="preserve"> : Récapitulatif du potentiel de production de chaleur</w:t>
      </w:r>
      <w:bookmarkEnd w:id="129"/>
      <w:r>
        <w:t xml:space="preserve"> </w:t>
      </w:r>
      <w:r w:rsidRPr="00320C4A">
        <w:t>Issu</w:t>
      </w:r>
      <w:r>
        <w:t xml:space="preserve"> </w:t>
      </w:r>
      <w:r w:rsidRPr="00320C4A">
        <w:t xml:space="preserve">du solaire thermique sur le territoire </w:t>
      </w:r>
    </w:p>
    <w:tbl>
      <w:tblPr>
        <w:tblStyle w:val="AKAtab1"/>
        <w:tblW w:w="9062" w:type="dxa"/>
        <w:tblLook w:val="04A0" w:firstRow="1" w:lastRow="0" w:firstColumn="1" w:lastColumn="0" w:noHBand="0" w:noVBand="1"/>
      </w:tblPr>
      <w:tblGrid>
        <w:gridCol w:w="2689"/>
        <w:gridCol w:w="6373"/>
      </w:tblGrid>
      <w:tr w:rsidR="00CD3156" w:rsidRPr="00D97581" w14:paraId="4EC2E02C" w14:textId="77777777" w:rsidTr="00CD3156">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442B5E06" w14:textId="77777777" w:rsidR="00CD3156" w:rsidRPr="00320C4A" w:rsidRDefault="00CD3156" w:rsidP="00231BC1">
            <w:pPr>
              <w:ind w:right="4117"/>
              <w:jc w:val="left"/>
              <w:rPr>
                <w:rFonts w:eastAsia="Times New Roman" w:cs="Calibri"/>
                <w:b w:val="0"/>
                <w:bCs/>
                <w:color w:val="FFFFFF"/>
              </w:rPr>
            </w:pPr>
            <w:r w:rsidRPr="00320C4A">
              <w:rPr>
                <w:rFonts w:eastAsia="Times New Roman" w:cs="Calibri"/>
                <w:b w:val="0"/>
                <w:bCs/>
                <w:color w:val="FFFFFF"/>
              </w:rPr>
              <w:t>Filière : Solaire thermique</w:t>
            </w:r>
          </w:p>
        </w:tc>
      </w:tr>
      <w:tr w:rsidR="00CD3156" w:rsidRPr="00D97581" w14:paraId="748E31E1" w14:textId="77777777" w:rsidTr="00231BC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2DF39454" w14:textId="77777777" w:rsidR="00CD3156" w:rsidRPr="00320C4A" w:rsidRDefault="00CD3156" w:rsidP="00231BC1">
            <w:pPr>
              <w:jc w:val="center"/>
              <w:rPr>
                <w:rFonts w:eastAsia="Times New Roman" w:cs="Calibri"/>
                <w:b/>
                <w:bCs/>
                <w:color w:val="000000"/>
              </w:rPr>
            </w:pPr>
            <w:r w:rsidRPr="00320C4A">
              <w:rPr>
                <w:rFonts w:eastAsia="Times New Roman" w:cs="Calibri"/>
                <w:b/>
                <w:bCs/>
                <w:color w:val="000000"/>
              </w:rPr>
              <w:t>CC Haute Vallée de Chevreuse</w:t>
            </w:r>
          </w:p>
        </w:tc>
      </w:tr>
      <w:tr w:rsidR="00CD3156" w:rsidRPr="00D97581" w14:paraId="53E850B4" w14:textId="77777777" w:rsidTr="00CD3156">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689" w:type="dxa"/>
          </w:tcPr>
          <w:p w14:paraId="0E1C7D00" w14:textId="77777777" w:rsidR="00CD3156" w:rsidRPr="00320C4A" w:rsidRDefault="00CD3156" w:rsidP="00231BC1">
            <w:pPr>
              <w:jc w:val="center"/>
              <w:rPr>
                <w:rFonts w:eastAsia="Times New Roman" w:cs="Calibri"/>
                <w:b/>
                <w:bCs/>
                <w:color w:val="000000"/>
              </w:rPr>
            </w:pPr>
            <w:r w:rsidRPr="00320C4A">
              <w:rPr>
                <w:rFonts w:eastAsia="Times New Roman" w:cs="Calibri"/>
                <w:b/>
                <w:bCs/>
                <w:color w:val="000000"/>
              </w:rPr>
              <w:t>Potentiel brut</w:t>
            </w:r>
          </w:p>
        </w:tc>
        <w:tc>
          <w:tcPr>
            <w:tcW w:w="6373" w:type="dxa"/>
            <w:noWrap/>
          </w:tcPr>
          <w:p w14:paraId="75F43101" w14:textId="77777777" w:rsidR="00CD3156" w:rsidRPr="00320C4A" w:rsidRDefault="00CD3156"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320C4A">
              <w:t>42 962 MWh</w:t>
            </w:r>
            <w:r w:rsidRPr="00320C4A">
              <w:rPr>
                <w:rFonts w:eastAsia="Times New Roman" w:cs="Calibri"/>
                <w:color w:val="000000"/>
              </w:rPr>
              <w:t xml:space="preserve"> </w:t>
            </w:r>
          </w:p>
          <w:p w14:paraId="3408E28F" w14:textId="77777777" w:rsidR="00CD3156" w:rsidRPr="00320C4A" w:rsidRDefault="00CD3156" w:rsidP="00231BC1">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320C4A">
              <w:rPr>
                <w:rFonts w:eastAsia="Times New Roman" w:cs="Calibri"/>
                <w:color w:val="000000"/>
              </w:rPr>
              <w:t>405 968 m²</w:t>
            </w:r>
          </w:p>
        </w:tc>
      </w:tr>
      <w:tr w:rsidR="00CD3156" w:rsidRPr="00D97581" w14:paraId="47649A7B" w14:textId="77777777" w:rsidTr="00CD3156">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689" w:type="dxa"/>
          </w:tcPr>
          <w:p w14:paraId="126CF18B" w14:textId="77777777" w:rsidR="00CD3156" w:rsidRPr="00710CC3" w:rsidRDefault="00CD3156" w:rsidP="00EA1E3D">
            <w:pPr>
              <w:pStyle w:val="Lgende"/>
              <w:keepNext/>
              <w:jc w:val="center"/>
              <w:rPr>
                <w:sz w:val="22"/>
                <w:szCs w:val="22"/>
              </w:rPr>
            </w:pPr>
            <w:r w:rsidRPr="00710CC3">
              <w:rPr>
                <w:sz w:val="22"/>
                <w:szCs w:val="22"/>
              </w:rPr>
              <w:t>Potentiel net</w:t>
            </w:r>
          </w:p>
        </w:tc>
        <w:tc>
          <w:tcPr>
            <w:tcW w:w="6373" w:type="dxa"/>
            <w:noWrap/>
          </w:tcPr>
          <w:p w14:paraId="787B2767" w14:textId="77777777" w:rsidR="00CD3156" w:rsidRPr="00710CC3" w:rsidRDefault="00CD3156" w:rsidP="00EA1E3D">
            <w:pPr>
              <w:pStyle w:val="Lgende"/>
              <w:keepNext/>
              <w:jc w:val="center"/>
              <w:cnfStyle w:val="000000100000" w:firstRow="0" w:lastRow="0" w:firstColumn="0" w:lastColumn="0" w:oddVBand="0" w:evenVBand="0" w:oddHBand="1" w:evenHBand="0" w:firstRowFirstColumn="0" w:firstRowLastColumn="0" w:lastRowFirstColumn="0" w:lastRowLastColumn="0"/>
              <w:rPr>
                <w:sz w:val="22"/>
                <w:szCs w:val="22"/>
              </w:rPr>
            </w:pPr>
            <w:r w:rsidRPr="00710CC3">
              <w:rPr>
                <w:sz w:val="22"/>
                <w:szCs w:val="22"/>
              </w:rPr>
              <w:t xml:space="preserve">11 040 MWh </w:t>
            </w:r>
          </w:p>
          <w:p w14:paraId="27A38651" w14:textId="77777777" w:rsidR="00CD3156" w:rsidRPr="00710CC3" w:rsidRDefault="00CD3156" w:rsidP="00EA1E3D">
            <w:pPr>
              <w:pStyle w:val="Lgende"/>
              <w:keepNext/>
              <w:jc w:val="center"/>
              <w:cnfStyle w:val="000000100000" w:firstRow="0" w:lastRow="0" w:firstColumn="0" w:lastColumn="0" w:oddVBand="0" w:evenVBand="0" w:oddHBand="1" w:evenHBand="0" w:firstRowFirstColumn="0" w:firstRowLastColumn="0" w:lastRowFirstColumn="0" w:lastRowLastColumn="0"/>
              <w:rPr>
                <w:sz w:val="22"/>
                <w:szCs w:val="22"/>
              </w:rPr>
            </w:pPr>
            <w:r w:rsidRPr="00710CC3">
              <w:rPr>
                <w:sz w:val="22"/>
                <w:szCs w:val="22"/>
              </w:rPr>
              <w:t>32 520 m²</w:t>
            </w:r>
          </w:p>
        </w:tc>
      </w:tr>
    </w:tbl>
    <w:p w14:paraId="546F91C1" w14:textId="77777777" w:rsidR="00CD3156" w:rsidRDefault="00CD3156" w:rsidP="00CD3156"/>
    <w:p w14:paraId="5DA70A69" w14:textId="669269B9" w:rsidR="00CD3156" w:rsidRPr="0074156C" w:rsidRDefault="00CD3156" w:rsidP="00CD3156">
      <w:r w:rsidRPr="0074156C">
        <w:t xml:space="preserve">La répartition par commune est la suivante : </w:t>
      </w:r>
    </w:p>
    <w:p w14:paraId="6C474B2A" w14:textId="77777777" w:rsidR="00CD3156" w:rsidRPr="00D97581" w:rsidRDefault="00CD3156" w:rsidP="00CD3156">
      <w:pPr>
        <w:keepNext/>
        <w:jc w:val="center"/>
        <w:rPr>
          <w:highlight w:val="yellow"/>
        </w:rPr>
      </w:pPr>
      <w:r>
        <w:rPr>
          <w:noProof/>
        </w:rPr>
        <w:drawing>
          <wp:inline distT="0" distB="0" distL="0" distR="0" wp14:anchorId="5ED7241E" wp14:editId="22B859F2">
            <wp:extent cx="5113020" cy="3580130"/>
            <wp:effectExtent l="0" t="0" r="11430" b="1270"/>
            <wp:docPr id="7184" name="Graphique 7184">
              <a:extLst xmlns:a="http://schemas.openxmlformats.org/drawingml/2006/main">
                <a:ext uri="{FF2B5EF4-FFF2-40B4-BE49-F238E27FC236}">
                  <a16:creationId xmlns:a16="http://schemas.microsoft.com/office/drawing/2014/main" id="{28C3AF29-2143-5402-11B5-545B9F2D67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6C643BD" w14:textId="19EED0C6" w:rsidR="00CD3156" w:rsidRDefault="00CD3156" w:rsidP="00B12CF9">
      <w:pPr>
        <w:pStyle w:val="Lgende"/>
        <w:jc w:val="center"/>
        <w:rPr>
          <w:highlight w:val="yellow"/>
        </w:rPr>
      </w:pPr>
      <w:bookmarkStart w:id="130" w:name="_Toc126096842"/>
      <w:bookmarkStart w:id="131" w:name="_Toc129786579"/>
      <w:r w:rsidRPr="00146382">
        <w:t xml:space="preserve">Figure </w:t>
      </w:r>
      <w:r w:rsidR="008A4890">
        <w:rPr>
          <w:b w:val="0"/>
          <w:bCs w:val="0"/>
        </w:rPr>
        <w:fldChar w:fldCharType="begin"/>
      </w:r>
      <w:r w:rsidR="008A4890">
        <w:rPr>
          <w:b w:val="0"/>
          <w:bCs w:val="0"/>
        </w:rPr>
        <w:instrText xml:space="preserve"> SEQ Figure \* ARABIC </w:instrText>
      </w:r>
      <w:r w:rsidR="008A4890">
        <w:rPr>
          <w:b w:val="0"/>
          <w:bCs w:val="0"/>
        </w:rPr>
        <w:fldChar w:fldCharType="separate"/>
      </w:r>
      <w:r w:rsidR="00367740">
        <w:rPr>
          <w:noProof/>
        </w:rPr>
        <w:t>25</w:t>
      </w:r>
      <w:r w:rsidR="008A4890">
        <w:rPr>
          <w:b w:val="0"/>
          <w:bCs w:val="0"/>
          <w:noProof/>
        </w:rPr>
        <w:fldChar w:fldCharType="end"/>
      </w:r>
      <w:r w:rsidRPr="00146382">
        <w:t xml:space="preserve"> : Potentiel de production de chaleur issue du solaire thermique, réparti par commune</w:t>
      </w:r>
      <w:bookmarkEnd w:id="130"/>
      <w:bookmarkEnd w:id="131"/>
    </w:p>
    <w:p w14:paraId="1EC34787" w14:textId="77777777" w:rsidR="00710CC3" w:rsidRDefault="00710CC3" w:rsidP="00CD3156">
      <w:pPr>
        <w:rPr>
          <w:rStyle w:val="Rfrencelgre"/>
        </w:rPr>
      </w:pPr>
    </w:p>
    <w:p w14:paraId="278D5AA9" w14:textId="79CC0B5A" w:rsidR="001A4634" w:rsidRPr="00CD3156" w:rsidRDefault="00CD3156" w:rsidP="00CD3156">
      <w:pPr>
        <w:rPr>
          <w:rStyle w:val="Rfrencelgre"/>
        </w:rPr>
      </w:pPr>
      <w:r w:rsidRPr="00CD3156">
        <w:rPr>
          <w:rStyle w:val="Rfrencelgre"/>
        </w:rPr>
        <w:t>Contraintes et préconisations liées à la mobilisation du potentiel</w:t>
      </w:r>
    </w:p>
    <w:p w14:paraId="70337B0A" w14:textId="23DC6A37" w:rsidR="00CD3156" w:rsidRDefault="00CD3156">
      <w:r w:rsidRPr="008E295B">
        <w:t xml:space="preserve">La présence de plusieurs </w:t>
      </w:r>
      <w:r>
        <w:t xml:space="preserve">gros consommateurs </w:t>
      </w:r>
      <w:r w:rsidRPr="008E295B">
        <w:t xml:space="preserve">annuels d’eau chaude sanitaire (ECS) sur le territoire </w:t>
      </w:r>
      <w:r>
        <w:t>rend le potentiel solaire thermique intéressant à mobiliser</w:t>
      </w:r>
      <w:r w:rsidR="001A4634">
        <w:t>,</w:t>
      </w:r>
      <w:r>
        <w:t xml:space="preserve"> d’autant que la technologie est connue et éprouvée</w:t>
      </w:r>
      <w:r w:rsidRPr="008E295B">
        <w:t xml:space="preserve">. La hausse actuelle des prix des énergies fossiles rend cette technologie plus concurrentielle. </w:t>
      </w:r>
    </w:p>
    <w:p w14:paraId="6FD2F79F" w14:textId="77777777" w:rsidR="00710CC3" w:rsidRDefault="00710CC3" w:rsidP="00710CC3"/>
    <w:p w14:paraId="747485B2" w14:textId="046BBEC2" w:rsidR="00CD3156" w:rsidRDefault="00CD3156" w:rsidP="00CD3156">
      <w:pPr>
        <w:tabs>
          <w:tab w:val="num" w:pos="2160"/>
        </w:tabs>
      </w:pPr>
      <w:r>
        <w:lastRenderedPageBreak/>
        <w:t xml:space="preserve">Quelques contraintes sont néanmoins à garder à l’esprit : </w:t>
      </w:r>
    </w:p>
    <w:p w14:paraId="353A054A" w14:textId="77777777" w:rsidR="00CD3156" w:rsidRPr="00F16BFD" w:rsidRDefault="00CD3156" w:rsidP="008A0F26">
      <w:pPr>
        <w:pStyle w:val="Paragraphedeliste"/>
        <w:numPr>
          <w:ilvl w:val="0"/>
          <w:numId w:val="3"/>
        </w:numPr>
        <w:tabs>
          <w:tab w:val="num" w:pos="2160"/>
        </w:tabs>
        <w:spacing w:after="200" w:line="276" w:lineRule="auto"/>
      </w:pPr>
      <w:r w:rsidRPr="00F16BFD">
        <w:t xml:space="preserve">Le solaire thermique - comme souvent les </w:t>
      </w:r>
      <w:proofErr w:type="spellStart"/>
      <w:r w:rsidRPr="00F16BFD">
        <w:t>EnR</w:t>
      </w:r>
      <w:proofErr w:type="spellEnd"/>
      <w:r w:rsidRPr="00F16BFD">
        <w:t xml:space="preserve"> de production de chaleur - est peu connu du grand public et nécessite donc une sensibilisation et une incitation accrue auprès des acteurs du territoire. </w:t>
      </w:r>
    </w:p>
    <w:p w14:paraId="0DE9A999" w14:textId="0B728633" w:rsidR="00CD3156" w:rsidRPr="00F16BFD" w:rsidRDefault="00CD3156" w:rsidP="008A0F26">
      <w:pPr>
        <w:pStyle w:val="Paragraphedeliste"/>
        <w:numPr>
          <w:ilvl w:val="0"/>
          <w:numId w:val="3"/>
        </w:numPr>
        <w:tabs>
          <w:tab w:val="num" w:pos="2160"/>
        </w:tabs>
        <w:spacing w:after="200" w:line="276" w:lineRule="auto"/>
      </w:pPr>
      <w:r w:rsidRPr="00F16BFD">
        <w:t>D’un point de vue technique, les panneaux solaire</w:t>
      </w:r>
      <w:r w:rsidR="00710CC3">
        <w:t>s</w:t>
      </w:r>
      <w:r w:rsidRPr="00F16BFD">
        <w:t xml:space="preserve"> thermiques devront équiper des toitures dont la charpente est suffisamment résistante, bénéficiant d’une orientation sud et d’une pente minimum de 45°</w:t>
      </w:r>
      <w:r w:rsidR="001A4634">
        <w:t xml:space="preserve"> (ou une toiture terrasse)</w:t>
      </w:r>
      <w:r w:rsidRPr="00F16BFD">
        <w:t xml:space="preserve">. </w:t>
      </w:r>
    </w:p>
    <w:p w14:paraId="581C1185" w14:textId="77777777" w:rsidR="00CD3156" w:rsidRPr="00F16BFD" w:rsidRDefault="00CD3156" w:rsidP="008A0F26">
      <w:pPr>
        <w:pStyle w:val="Paragraphedeliste"/>
        <w:numPr>
          <w:ilvl w:val="0"/>
          <w:numId w:val="3"/>
        </w:numPr>
        <w:tabs>
          <w:tab w:val="num" w:pos="2160"/>
        </w:tabs>
        <w:spacing w:after="200" w:line="276" w:lineRule="auto"/>
      </w:pPr>
      <w:r w:rsidRPr="00F16BFD">
        <w:t xml:space="preserve">Tout comme les panneaux photovoltaïques, ils sont soumis à l’avis des ABF en cas de </w:t>
      </w:r>
      <w:proofErr w:type="spellStart"/>
      <w:r w:rsidRPr="00F16BFD">
        <w:t>co</w:t>
      </w:r>
      <w:proofErr w:type="spellEnd"/>
      <w:r w:rsidRPr="00F16BFD">
        <w:t xml:space="preserve">-visibilité avec monument historique. </w:t>
      </w:r>
    </w:p>
    <w:p w14:paraId="6C94AAEC" w14:textId="3481D000" w:rsidR="00CD3156" w:rsidRDefault="00CD3156" w:rsidP="00CD3156">
      <w:pPr>
        <w:tabs>
          <w:tab w:val="num" w:pos="1440"/>
          <w:tab w:val="num" w:pos="2160"/>
        </w:tabs>
      </w:pPr>
      <w:r w:rsidRPr="00F57301">
        <w:t xml:space="preserve">Cette filière </w:t>
      </w:r>
      <w:proofErr w:type="spellStart"/>
      <w:r w:rsidRPr="00F57301">
        <w:t>EnR</w:t>
      </w:r>
      <w:proofErr w:type="spellEnd"/>
      <w:r w:rsidRPr="00F57301">
        <w:t xml:space="preserve"> est donc à étudier </w:t>
      </w:r>
      <w:r w:rsidRPr="008E295B">
        <w:t xml:space="preserve">systématiquement sur les </w:t>
      </w:r>
      <w:r w:rsidRPr="00F57301">
        <w:t>bâtiments consommant beaucoup d’ECS et de manière constante (</w:t>
      </w:r>
      <w:r w:rsidRPr="008E295B">
        <w:t xml:space="preserve">piscines, </w:t>
      </w:r>
      <w:r w:rsidRPr="00F57301">
        <w:t>h</w:t>
      </w:r>
      <w:r w:rsidRPr="008E295B">
        <w:t>ôpitaux, EHPAD</w:t>
      </w:r>
      <w:r w:rsidRPr="00F57301">
        <w:t>, hôtels) ou sur des bâtiments dont les besoins en ECS sont importants durant la saison estivale (campings). De tels consommateurs pourront être</w:t>
      </w:r>
      <w:r w:rsidRPr="008E295B">
        <w:t xml:space="preserve"> orient</w:t>
      </w:r>
      <w:r w:rsidRPr="00F57301">
        <w:t>és</w:t>
      </w:r>
      <w:r w:rsidRPr="008E295B">
        <w:t xml:space="preserve"> vers un </w:t>
      </w:r>
      <w:r w:rsidRPr="00F57301">
        <w:t xml:space="preserve">Contrat de Chaleur Renouvelable (CCR) </w:t>
      </w:r>
      <w:r w:rsidRPr="008E295B">
        <w:t xml:space="preserve">pour accéder au Fonds Chaleur </w:t>
      </w:r>
      <w:r w:rsidRPr="00F57301">
        <w:t>de l’</w:t>
      </w:r>
      <w:r w:rsidRPr="008E295B">
        <w:t>ADEME</w:t>
      </w:r>
      <w:r w:rsidRPr="00F57301">
        <w:t>.</w:t>
      </w:r>
      <w:r w:rsidRPr="008E295B">
        <w:t xml:space="preserve">  </w:t>
      </w:r>
    </w:p>
    <w:p w14:paraId="1E6E00EB" w14:textId="77777777" w:rsidR="00CD3156" w:rsidRPr="008E295B" w:rsidRDefault="00CD3156" w:rsidP="00CD3156">
      <w:r>
        <w:t>Concernant les bâtiments publics, la collectivité pourra encourager</w:t>
      </w:r>
      <w:r w:rsidRPr="008E295B">
        <w:t xml:space="preserve"> la réutilisation de bâtiments scolaires pour différentes activités en été pour rendre le solaire thermique intéressant et rentable</w:t>
      </w:r>
      <w:r>
        <w:t>.</w:t>
      </w:r>
    </w:p>
    <w:p w14:paraId="22F4113C" w14:textId="7D738256" w:rsidR="00CD3156" w:rsidRPr="008E295B" w:rsidRDefault="00CD3156" w:rsidP="00B12CF9">
      <w:pPr>
        <w:jc w:val="left"/>
      </w:pPr>
      <w:r w:rsidRPr="00F57301">
        <w:t xml:space="preserve">Pour les </w:t>
      </w:r>
      <w:r>
        <w:t>habitations</w:t>
      </w:r>
      <w:r w:rsidRPr="00F57301">
        <w:t xml:space="preserve">, </w:t>
      </w:r>
      <w:r>
        <w:t>les logements</w:t>
      </w:r>
      <w:r w:rsidRPr="008E295B">
        <w:t xml:space="preserve"> collectifs </w:t>
      </w:r>
      <w:r>
        <w:t xml:space="preserve">et résidences de </w:t>
      </w:r>
      <w:r w:rsidRPr="008E295B">
        <w:t>particuliers</w:t>
      </w:r>
      <w:r>
        <w:t xml:space="preserve"> peuvent également être accompagnés voire aidés par la collectivité pour s’équiper de panneaux solaire</w:t>
      </w:r>
      <w:r w:rsidR="00710CC3">
        <w:t>s</w:t>
      </w:r>
      <w:r>
        <w:t xml:space="preserve"> thermique.</w:t>
      </w:r>
      <w:r w:rsidRPr="00F57301">
        <w:t xml:space="preserve"> </w:t>
      </w:r>
      <w:r w:rsidR="00710CC3">
        <w:br/>
      </w:r>
    </w:p>
    <w:p w14:paraId="0845F714" w14:textId="0B1DE423" w:rsidR="00CD3156" w:rsidRPr="009E2616" w:rsidRDefault="00CD3156" w:rsidP="002708C8">
      <w:pPr>
        <w:pStyle w:val="Titre3"/>
        <w:ind w:left="2818"/>
      </w:pPr>
      <w:bookmarkStart w:id="132" w:name="_Toc83706298"/>
      <w:bookmarkStart w:id="133" w:name="_Toc83706296"/>
      <w:bookmarkStart w:id="134" w:name="_Toc129784754"/>
      <w:r w:rsidRPr="009E2616">
        <w:t>La géothermie</w:t>
      </w:r>
      <w:bookmarkEnd w:id="132"/>
      <w:r w:rsidRPr="009E2616">
        <w:t xml:space="preserve"> </w:t>
      </w:r>
      <w:r w:rsidR="004C5D67">
        <w:t>basse et très basse énergie</w:t>
      </w:r>
      <w:bookmarkEnd w:id="134"/>
    </w:p>
    <w:p w14:paraId="7F246A4B" w14:textId="77777777" w:rsidR="00CD3156" w:rsidRPr="00C80697" w:rsidRDefault="00CD3156" w:rsidP="00CD3156">
      <w:pPr>
        <w:spacing w:before="120"/>
      </w:pPr>
      <w:r w:rsidRPr="00C80697">
        <w:t xml:space="preserve">Il existe plusieurs types de dispositifs géothermiques : </w:t>
      </w:r>
    </w:p>
    <w:p w14:paraId="21A71A15" w14:textId="77777777" w:rsidR="00CD3156" w:rsidRDefault="00CD3156" w:rsidP="008A0F26">
      <w:pPr>
        <w:pStyle w:val="Paragraphedeliste"/>
        <w:numPr>
          <w:ilvl w:val="0"/>
          <w:numId w:val="3"/>
        </w:numPr>
        <w:spacing w:before="120" w:line="276" w:lineRule="auto"/>
      </w:pPr>
      <w:r w:rsidRPr="00F16BFD">
        <w:t xml:space="preserve">La géothermie basse énergie : pompage et rejet d’eau dans les nappes d’eau souterraines pouvant atteindre entre 30°C et 100°C. Ces gisements sont généralement situés très en profondeur, nécessitant ainsi des forages importants </w:t>
      </w:r>
      <w:r>
        <w:t xml:space="preserve">(entre 1 500 et 2 500 mètres). </w:t>
      </w:r>
    </w:p>
    <w:p w14:paraId="330EA9A5" w14:textId="22A04CAE" w:rsidR="00CD3156" w:rsidRPr="00F16BFD" w:rsidRDefault="00CD3156" w:rsidP="00CD3156">
      <w:pPr>
        <w:pStyle w:val="Paragraphedeliste"/>
        <w:spacing w:before="120" w:line="276" w:lineRule="auto"/>
      </w:pPr>
      <w:r w:rsidRPr="00F16BFD">
        <w:t xml:space="preserve">Le territoire de la CC de la Haute Vallée de Chevreuse est situé à la limite de la nappe du Dogger, qui représente la ressource du </w:t>
      </w:r>
      <w:proofErr w:type="gramStart"/>
      <w:r w:rsidRPr="00F16BFD">
        <w:t>bassin</w:t>
      </w:r>
      <w:proofErr w:type="gramEnd"/>
      <w:r w:rsidRPr="00F16BFD">
        <w:t xml:space="preserve"> parisien pour ce type d’installations. Il ne possède donc pas de potentiel exploitable pour ce type de géothermie. </w:t>
      </w:r>
    </w:p>
    <w:p w14:paraId="548EF615" w14:textId="77777777" w:rsidR="00CD3156" w:rsidRPr="00F16BFD" w:rsidRDefault="00CD3156" w:rsidP="008A0F26">
      <w:pPr>
        <w:pStyle w:val="Paragraphedeliste"/>
        <w:numPr>
          <w:ilvl w:val="0"/>
          <w:numId w:val="3"/>
        </w:numPr>
        <w:spacing w:before="120" w:line="276" w:lineRule="auto"/>
      </w:pPr>
      <w:r w:rsidRPr="00F16BFD">
        <w:t xml:space="preserve">La géothermie très basse énergie : La chaleur prélevée peut provenir : </w:t>
      </w:r>
    </w:p>
    <w:p w14:paraId="0B8366FD" w14:textId="77777777" w:rsidR="00CD3156" w:rsidRPr="00F16BFD" w:rsidRDefault="00CD3156" w:rsidP="008A0F26">
      <w:pPr>
        <w:pStyle w:val="Paragraphedeliste"/>
        <w:numPr>
          <w:ilvl w:val="1"/>
          <w:numId w:val="3"/>
        </w:numPr>
        <w:spacing w:before="120" w:line="276" w:lineRule="auto"/>
      </w:pPr>
      <w:r w:rsidRPr="00F16BFD">
        <w:t>Des aquifères : l’eau d’une nappe souterraine est pompée par l’intermédiaire d’un ou de plusieurs forages pour l’acheminer jusqu’à une pompe à chaleur (géothermie très basse énergie) ou un réseau de chaleur (géothermie basse énergie) afin d’en prélever les calories, avant de la réinjecter dans l’aquifère par l’intermédiaire d’un second ou de plusieurs forages.</w:t>
      </w:r>
    </w:p>
    <w:p w14:paraId="4B12A5D7" w14:textId="77777777" w:rsidR="00CD3156" w:rsidRPr="00F16BFD" w:rsidRDefault="00CD3156" w:rsidP="008A0F26">
      <w:pPr>
        <w:pStyle w:val="Paragraphedeliste"/>
        <w:numPr>
          <w:ilvl w:val="1"/>
          <w:numId w:val="3"/>
        </w:numPr>
        <w:spacing w:before="120" w:line="276" w:lineRule="auto"/>
      </w:pPr>
      <w:r w:rsidRPr="00F16BFD">
        <w:t xml:space="preserve">D’un échange avec le sol : des sondes en U dans lesquelles circule un fluide caloporteur sont posées dans des forages de maximum 200 m de profondeur (cette profondeur est la limite avant la nécessité de demander une autorisation de forage selon le code minier). </w:t>
      </w:r>
    </w:p>
    <w:p w14:paraId="25711035" w14:textId="0041C265" w:rsidR="00CD3156" w:rsidRDefault="00CD3156" w:rsidP="00CD3156">
      <w:pPr>
        <w:spacing w:before="120"/>
        <w:ind w:left="709"/>
      </w:pPr>
      <w:r w:rsidRPr="00C80697">
        <w:t>Ce type d’installation est souvent couplé avec une pompe à chaleur, le sol ou l’eau de nappe peu profonde étant souvent à des températures proches de 10°C.</w:t>
      </w:r>
      <w:r>
        <w:t xml:space="preserve"> </w:t>
      </w:r>
      <w:r w:rsidRPr="00C80697">
        <w:t xml:space="preserve">Le potentiel en géothermie de la </w:t>
      </w:r>
      <w:r>
        <w:t xml:space="preserve">CC de la Haute Vallée de Chevreuse </w:t>
      </w:r>
      <w:r w:rsidRPr="00C80697">
        <w:t>à étudier se trouve dans ce type de ressource.</w:t>
      </w:r>
    </w:p>
    <w:p w14:paraId="7D8798B1" w14:textId="535C2A7B" w:rsidR="00CD3156" w:rsidRPr="00972BFE" w:rsidRDefault="00710CC3" w:rsidP="00972BFE">
      <w:pPr>
        <w:rPr>
          <w:rStyle w:val="Rfrencelgre"/>
        </w:rPr>
      </w:pPr>
      <w:r>
        <w:rPr>
          <w:rStyle w:val="Rfrencelgre"/>
        </w:rPr>
        <w:br/>
      </w:r>
      <w:r w:rsidR="00CD3156" w:rsidRPr="00972BFE">
        <w:rPr>
          <w:rStyle w:val="Rfrencelgre"/>
        </w:rPr>
        <w:t>Méthodologie</w:t>
      </w:r>
    </w:p>
    <w:p w14:paraId="68E8CE5D" w14:textId="5865258F" w:rsidR="00CD3156" w:rsidRPr="00AC78C9" w:rsidRDefault="00CD3156" w:rsidP="00CD3156">
      <w:r w:rsidRPr="00AC78C9">
        <w:t>Le BRGM met à disposition un outil d’aide à la décision pour l’implantation de projets géothermiques, qui se présente sous forme d’un Atlas. Le potentiel en géothermie sur aquifère est calculé à partir des zones favorables issues des informations mises à disposition par le BRGM.</w:t>
      </w:r>
      <w:r>
        <w:t xml:space="preserve"> En présence d’un potentiel sur nappe, le BRGM conseille d’étudier en priorité cette technologie plus efficace que la géothermie dite sur sonde.</w:t>
      </w:r>
    </w:p>
    <w:p w14:paraId="4641BC52" w14:textId="77777777" w:rsidR="00CD3156" w:rsidRPr="00AC78C9" w:rsidRDefault="00CD3156" w:rsidP="00CD3156">
      <w:pPr>
        <w:tabs>
          <w:tab w:val="left" w:pos="6465"/>
        </w:tabs>
      </w:pPr>
      <w:r w:rsidRPr="00DC0041">
        <w:lastRenderedPageBreak/>
        <w:t xml:space="preserve">D’après cette étude, le potentiel géothermique de la Communauté de Communes est </w:t>
      </w:r>
      <w:r w:rsidRPr="00DC0041">
        <w:rPr>
          <w:b/>
          <w:bCs/>
        </w:rPr>
        <w:t>moyennement élevé sur l’ensemble du territoire</w:t>
      </w:r>
      <w:r w:rsidRPr="00DC0041">
        <w:t xml:space="preserve">, excepté à certains endroits où il est considéré comme étant fort. La figure </w:t>
      </w:r>
      <w:r>
        <w:t>ci-dessous</w:t>
      </w:r>
      <w:r w:rsidRPr="00DC0041">
        <w:t xml:space="preserve"> fait état de ce potentiel.</w:t>
      </w:r>
      <w:r w:rsidRPr="00AC78C9">
        <w:tab/>
      </w:r>
    </w:p>
    <w:p w14:paraId="62E27D43" w14:textId="77777777" w:rsidR="00CD3156" w:rsidRPr="00D97581" w:rsidRDefault="00CD3156" w:rsidP="00CD3156">
      <w:pPr>
        <w:keepNext/>
        <w:jc w:val="center"/>
        <w:rPr>
          <w:highlight w:val="yellow"/>
        </w:rPr>
      </w:pPr>
      <w:r w:rsidRPr="00CF2463">
        <w:rPr>
          <w:noProof/>
        </w:rPr>
        <w:drawing>
          <wp:inline distT="0" distB="0" distL="0" distR="0" wp14:anchorId="2DB48CEF" wp14:editId="028F81DF">
            <wp:extent cx="5713095" cy="4010025"/>
            <wp:effectExtent l="0" t="0" r="1905" b="9525"/>
            <wp:docPr id="7186" name="Image 718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Image 7186" descr="Une image contenant carte&#10;&#10;Description générée automatiquement"/>
                    <pic:cNvPicPr/>
                  </pic:nvPicPr>
                  <pic:blipFill rotWithShape="1">
                    <a:blip r:embed="rId48"/>
                    <a:srcRect l="827" t="941"/>
                    <a:stretch/>
                  </pic:blipFill>
                  <pic:spPr bwMode="auto">
                    <a:xfrm>
                      <a:off x="0" y="0"/>
                      <a:ext cx="5713095" cy="4010025"/>
                    </a:xfrm>
                    <a:prstGeom prst="rect">
                      <a:avLst/>
                    </a:prstGeom>
                    <a:ln>
                      <a:noFill/>
                    </a:ln>
                    <a:extLst>
                      <a:ext uri="{53640926-AAD7-44D8-BBD7-CCE9431645EC}">
                        <a14:shadowObscured xmlns:a14="http://schemas.microsoft.com/office/drawing/2010/main"/>
                      </a:ext>
                    </a:extLst>
                  </pic:spPr>
                </pic:pic>
              </a:graphicData>
            </a:graphic>
          </wp:inline>
        </w:drawing>
      </w:r>
    </w:p>
    <w:p w14:paraId="25EC6DA0" w14:textId="356A9721" w:rsidR="00CD3156" w:rsidRDefault="00CD3156" w:rsidP="00CD3156">
      <w:pPr>
        <w:pStyle w:val="Lgende"/>
        <w:tabs>
          <w:tab w:val="left" w:pos="1035"/>
          <w:tab w:val="center" w:pos="4536"/>
        </w:tabs>
        <w:jc w:val="left"/>
      </w:pPr>
      <w:r w:rsidRPr="001D19A6">
        <w:tab/>
      </w:r>
      <w:r w:rsidRPr="001D19A6">
        <w:tab/>
      </w:r>
      <w:bookmarkStart w:id="135" w:name="_Toc126096843"/>
      <w:bookmarkStart w:id="136" w:name="_Toc129786580"/>
      <w:r w:rsidRPr="001D19A6">
        <w:t xml:space="preserve">Figure </w:t>
      </w:r>
      <w:r w:rsidR="00D56558">
        <w:fldChar w:fldCharType="begin"/>
      </w:r>
      <w:r w:rsidR="00D56558">
        <w:instrText xml:space="preserve"> SEQ Figure \* ARABIC </w:instrText>
      </w:r>
      <w:r w:rsidR="00D56558">
        <w:fldChar w:fldCharType="separate"/>
      </w:r>
      <w:r w:rsidR="00367740">
        <w:rPr>
          <w:noProof/>
        </w:rPr>
        <w:t>26</w:t>
      </w:r>
      <w:r w:rsidR="00D56558">
        <w:rPr>
          <w:noProof/>
        </w:rPr>
        <w:fldChar w:fldCharType="end"/>
      </w:r>
      <w:r w:rsidRPr="001D19A6">
        <w:t xml:space="preserve"> : Carte du potentiel géothermique </w:t>
      </w:r>
      <w:r w:rsidR="004C5D67">
        <w:t xml:space="preserve">sur nappe </w:t>
      </w:r>
      <w:r w:rsidRPr="001D19A6">
        <w:t>de la CC Haute Vallée de Chevreuse</w:t>
      </w:r>
      <w:bookmarkEnd w:id="135"/>
      <w:bookmarkEnd w:id="136"/>
    </w:p>
    <w:p w14:paraId="7A365762" w14:textId="77777777" w:rsidR="00CD3156" w:rsidRPr="00907BE7" w:rsidRDefault="00CD3156" w:rsidP="00907BE7">
      <w:pPr>
        <w:pStyle w:val="Lgende"/>
        <w:jc w:val="center"/>
        <w:rPr>
          <w:b w:val="0"/>
          <w:bCs w:val="0"/>
          <w:i/>
          <w:iCs/>
          <w:color w:val="auto"/>
        </w:rPr>
      </w:pPr>
      <w:r w:rsidRPr="00907BE7">
        <w:rPr>
          <w:b w:val="0"/>
          <w:bCs w:val="0"/>
          <w:i/>
          <w:iCs/>
          <w:color w:val="auto"/>
        </w:rPr>
        <w:t>Source : BRGM</w:t>
      </w:r>
    </w:p>
    <w:p w14:paraId="11C336A7" w14:textId="77777777" w:rsidR="00CD3156" w:rsidRPr="00D97581" w:rsidRDefault="00CD3156" w:rsidP="00CD3156">
      <w:pPr>
        <w:pStyle w:val="Lgende"/>
        <w:tabs>
          <w:tab w:val="left" w:pos="1035"/>
          <w:tab w:val="center" w:pos="4536"/>
        </w:tabs>
        <w:jc w:val="left"/>
        <w:rPr>
          <w:highlight w:val="yellow"/>
        </w:rPr>
      </w:pPr>
    </w:p>
    <w:p w14:paraId="09145573" w14:textId="77777777" w:rsidR="00CD3156" w:rsidRPr="00972BFE" w:rsidRDefault="00CD3156" w:rsidP="00972BFE">
      <w:pPr>
        <w:rPr>
          <w:rStyle w:val="Rfrencelgre"/>
        </w:rPr>
      </w:pPr>
      <w:r w:rsidRPr="00972BFE">
        <w:rPr>
          <w:rStyle w:val="Rfrencelgre"/>
        </w:rPr>
        <w:t>Contraintes à prendre en compte</w:t>
      </w:r>
    </w:p>
    <w:p w14:paraId="76952EDC" w14:textId="14C5D122" w:rsidR="00CD3156" w:rsidRDefault="00CD3156" w:rsidP="00CD3156">
      <w:r w:rsidRPr="00D5046E">
        <w:t xml:space="preserve">Il est à noter qu’une partie du potentiel net sera plus difficilement mobilisable. En effet, le BRGM met à disposition les zones réglementaires éligibles à la géothermie de minime importance (GMI). Certaines zones sont éligibles, certaines ne le sont pas et d’autres se situent entre ces deux cas de figure, et l’avis d’un expert est nécessaire. La carte ci-dessous indique les zones règlementaires éligibles à la géothermie et celles qui pourront être éligibles après avis d’expert. </w:t>
      </w:r>
      <w:r>
        <w:t>Le potentiel est estimé à partir d’une surface de plancher en considérant un ratio de 50% sur les zones à fort potentiel et un ratio de 30% po</w:t>
      </w:r>
      <w:r w:rsidR="00972BFE">
        <w:t>ur les zones à potentiel moyen.</w:t>
      </w:r>
    </w:p>
    <w:p w14:paraId="54339519" w14:textId="77777777" w:rsidR="00CD3156" w:rsidRDefault="00CD3156" w:rsidP="00CD3156">
      <w:r>
        <w:t>De plus, les contraintes d’espace urbain ou de compatibilité de la pompe à chaleur géothermique avec le système de chauffage existant ne sont pas prises en compte ici. Le gisement calculé ci-dessous en est d’autant plus théorique et ne peut se substituer à une étude plus exhaustive par chaque porteur de projet.</w:t>
      </w:r>
    </w:p>
    <w:p w14:paraId="59EBBE91" w14:textId="77777777" w:rsidR="00CD3156" w:rsidRDefault="00CD3156" w:rsidP="00CD3156"/>
    <w:p w14:paraId="43FA9C63" w14:textId="77777777" w:rsidR="00CD3156" w:rsidRPr="00D5046E" w:rsidRDefault="00CD3156" w:rsidP="00CD3156"/>
    <w:p w14:paraId="004E6865" w14:textId="77777777" w:rsidR="00CD3156" w:rsidRPr="00D97581" w:rsidRDefault="00CD3156" w:rsidP="00CD3156">
      <w:pPr>
        <w:keepNext/>
        <w:keepLines/>
        <w:jc w:val="center"/>
        <w:rPr>
          <w:highlight w:val="yellow"/>
        </w:rPr>
      </w:pPr>
      <w:r w:rsidRPr="001D19A6">
        <w:rPr>
          <w:noProof/>
        </w:rPr>
        <w:lastRenderedPageBreak/>
        <w:drawing>
          <wp:inline distT="0" distB="0" distL="0" distR="0" wp14:anchorId="567601B5" wp14:editId="082C515B">
            <wp:extent cx="5760720" cy="4086225"/>
            <wp:effectExtent l="0" t="0" r="0" b="9525"/>
            <wp:docPr id="7187" name="Image 718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 name="Image 7187" descr="Une image contenant carte&#10;&#10;Description générée automatiquement"/>
                    <pic:cNvPicPr/>
                  </pic:nvPicPr>
                  <pic:blipFill>
                    <a:blip r:embed="rId49"/>
                    <a:stretch>
                      <a:fillRect/>
                    </a:stretch>
                  </pic:blipFill>
                  <pic:spPr>
                    <a:xfrm>
                      <a:off x="0" y="0"/>
                      <a:ext cx="5760720" cy="4086225"/>
                    </a:xfrm>
                    <a:prstGeom prst="rect">
                      <a:avLst/>
                    </a:prstGeom>
                  </pic:spPr>
                </pic:pic>
              </a:graphicData>
            </a:graphic>
          </wp:inline>
        </w:drawing>
      </w:r>
    </w:p>
    <w:p w14:paraId="5B07A9C8" w14:textId="77777777" w:rsidR="00CD3156" w:rsidRPr="00AA2805" w:rsidRDefault="00CD3156" w:rsidP="00972BFE">
      <w:pPr>
        <w:pStyle w:val="Lgende"/>
        <w:jc w:val="center"/>
      </w:pPr>
      <w:bookmarkStart w:id="137" w:name="_Toc126096844"/>
      <w:bookmarkStart w:id="138" w:name="_Toc129786581"/>
      <w:r w:rsidRPr="00AA2805">
        <w:t xml:space="preserve">Figure </w:t>
      </w:r>
      <w:r w:rsidR="00D56558">
        <w:fldChar w:fldCharType="begin"/>
      </w:r>
      <w:r w:rsidR="00D56558">
        <w:instrText xml:space="preserve"> SEQ Figure \* ARABIC </w:instrText>
      </w:r>
      <w:r w:rsidR="00D56558">
        <w:fldChar w:fldCharType="separate"/>
      </w:r>
      <w:r w:rsidR="00367740">
        <w:rPr>
          <w:noProof/>
        </w:rPr>
        <w:t>27</w:t>
      </w:r>
      <w:r w:rsidR="00D56558">
        <w:rPr>
          <w:noProof/>
        </w:rPr>
        <w:fldChar w:fldCharType="end"/>
      </w:r>
      <w:r w:rsidRPr="00AA2805">
        <w:t xml:space="preserve"> : Zones éligibles à la GMI sur le territoire de la CC Haute Vallée de Chevreuse</w:t>
      </w:r>
      <w:bookmarkEnd w:id="137"/>
      <w:bookmarkEnd w:id="138"/>
    </w:p>
    <w:p w14:paraId="50093540" w14:textId="11D699A9" w:rsidR="00CD3156" w:rsidRPr="00907BE7" w:rsidRDefault="00CD3156" w:rsidP="00907BE7">
      <w:pPr>
        <w:pStyle w:val="Lgende"/>
        <w:jc w:val="center"/>
        <w:rPr>
          <w:b w:val="0"/>
          <w:bCs w:val="0"/>
          <w:i/>
          <w:iCs/>
          <w:color w:val="auto"/>
        </w:rPr>
      </w:pPr>
      <w:r w:rsidRPr="00907BE7">
        <w:rPr>
          <w:b w:val="0"/>
          <w:bCs w:val="0"/>
          <w:i/>
          <w:iCs/>
          <w:color w:val="auto"/>
        </w:rPr>
        <w:t>Source : BRGM</w:t>
      </w:r>
      <w:r w:rsidR="00710CC3">
        <w:rPr>
          <w:b w:val="0"/>
          <w:bCs w:val="0"/>
          <w:i/>
          <w:iCs/>
          <w:color w:val="auto"/>
        </w:rPr>
        <w:br/>
      </w:r>
    </w:p>
    <w:p w14:paraId="0C4CA714" w14:textId="5A99D5D9" w:rsidR="00CD3156" w:rsidRDefault="00CD3156" w:rsidP="00972BFE">
      <w:pPr>
        <w:pStyle w:val="Titre4"/>
      </w:pPr>
      <w:r>
        <w:t xml:space="preserve">Production d’électricité à partir de la géothermie </w:t>
      </w:r>
    </w:p>
    <w:p w14:paraId="73B26109" w14:textId="77777777" w:rsidR="00CD3156" w:rsidRDefault="00CD3156" w:rsidP="00CD3156">
      <w:pPr>
        <w:pStyle w:val="Style6"/>
        <w:rPr>
          <w:rFonts w:ascii="Calibri" w:eastAsia="Batang" w:hAnsi="Calibri" w:cs="Times New Roman"/>
          <w:b w:val="0"/>
          <w:color w:val="auto"/>
          <w:sz w:val="22"/>
          <w:szCs w:val="24"/>
          <w:lang w:eastAsia="fr-FR"/>
        </w:rPr>
      </w:pPr>
      <w:r w:rsidRPr="000910CA">
        <w:rPr>
          <w:rFonts w:ascii="Calibri" w:eastAsia="Batang" w:hAnsi="Calibri" w:cs="Times New Roman"/>
          <w:b w:val="0"/>
          <w:color w:val="auto"/>
          <w:sz w:val="22"/>
          <w:szCs w:val="24"/>
          <w:lang w:eastAsia="fr-FR"/>
        </w:rPr>
        <w:t xml:space="preserve">Ce type d’installation nécessite des forages très importants pour atteindre des températures d’eau souterraines très élevées. Il s’agit d’aller au-delà de la géothermie basse énergie citée précédemment, ce qui implique des coûts très importants, et donc une nécessité de puissance très importante. </w:t>
      </w:r>
    </w:p>
    <w:p w14:paraId="55348FD3" w14:textId="77777777" w:rsidR="004C5D67" w:rsidRDefault="00CD3156" w:rsidP="00972BFE">
      <w:pPr>
        <w:pStyle w:val="Style6"/>
        <w:rPr>
          <w:rFonts w:ascii="Calibri" w:eastAsia="Batang" w:hAnsi="Calibri" w:cs="Times New Roman"/>
          <w:b w:val="0"/>
          <w:color w:val="auto"/>
          <w:sz w:val="22"/>
          <w:szCs w:val="24"/>
          <w:lang w:eastAsia="fr-FR"/>
        </w:rPr>
      </w:pPr>
      <w:r w:rsidRPr="000910CA">
        <w:rPr>
          <w:rFonts w:ascii="Calibri" w:eastAsia="Batang" w:hAnsi="Calibri" w:cs="Times New Roman"/>
          <w:b w:val="0"/>
          <w:color w:val="auto"/>
          <w:sz w:val="22"/>
          <w:szCs w:val="24"/>
          <w:lang w:eastAsia="fr-FR"/>
        </w:rPr>
        <w:t xml:space="preserve">Le seul exemple actuellement présent en France métropolitaine est l’installation de la Géothermie Soultz qui a dû effectuer plus de 20 km de forages à 5 000 mètres de profondeur pour atteindre une eau à 150°C pour produire 2,1 MW électrique à partir de 13 MW d’extrait. </w:t>
      </w:r>
    </w:p>
    <w:p w14:paraId="68C5DA28" w14:textId="5C7E6C64" w:rsidR="00972BFE" w:rsidRDefault="00CD3156" w:rsidP="00972BFE">
      <w:pPr>
        <w:pStyle w:val="Style6"/>
        <w:rPr>
          <w:rFonts w:ascii="Calibri" w:eastAsia="Batang" w:hAnsi="Calibri" w:cs="Times New Roman"/>
          <w:b w:val="0"/>
          <w:color w:val="auto"/>
          <w:sz w:val="22"/>
          <w:szCs w:val="24"/>
          <w:lang w:eastAsia="fr-FR"/>
        </w:rPr>
      </w:pPr>
      <w:r w:rsidRPr="000910CA">
        <w:rPr>
          <w:rFonts w:ascii="Calibri" w:eastAsia="Batang" w:hAnsi="Calibri" w:cs="Times New Roman"/>
          <w:b w:val="0"/>
          <w:color w:val="auto"/>
          <w:sz w:val="22"/>
          <w:szCs w:val="24"/>
          <w:lang w:eastAsia="fr-FR"/>
        </w:rPr>
        <w:t>Au stade actuel de la technologie et étant donné les connaissances à disposition sur le sous</w:t>
      </w:r>
      <w:r>
        <w:rPr>
          <w:rFonts w:ascii="Calibri" w:eastAsia="Batang" w:hAnsi="Calibri" w:cs="Times New Roman"/>
          <w:b w:val="0"/>
          <w:color w:val="auto"/>
          <w:sz w:val="22"/>
          <w:szCs w:val="24"/>
          <w:lang w:eastAsia="fr-FR"/>
        </w:rPr>
        <w:t>-</w:t>
      </w:r>
      <w:r w:rsidRPr="000910CA">
        <w:rPr>
          <w:rFonts w:ascii="Calibri" w:eastAsia="Batang" w:hAnsi="Calibri" w:cs="Times New Roman"/>
          <w:b w:val="0"/>
          <w:color w:val="auto"/>
          <w:sz w:val="22"/>
          <w:szCs w:val="24"/>
          <w:lang w:eastAsia="fr-FR"/>
        </w:rPr>
        <w:t xml:space="preserve">sol de la </w:t>
      </w:r>
      <w:r w:rsidRPr="004C1F3A">
        <w:rPr>
          <w:rFonts w:ascii="Calibri" w:eastAsia="Batang" w:hAnsi="Calibri" w:cs="Times New Roman"/>
          <w:b w:val="0"/>
          <w:color w:val="auto"/>
          <w:sz w:val="22"/>
          <w:szCs w:val="24"/>
          <w:lang w:eastAsia="fr-FR"/>
        </w:rPr>
        <w:t>CC de la Haute Vallée de Chevreuse</w:t>
      </w:r>
      <w:r w:rsidRPr="000910CA">
        <w:rPr>
          <w:rFonts w:ascii="Calibri" w:eastAsia="Batang" w:hAnsi="Calibri" w:cs="Times New Roman"/>
          <w:b w:val="0"/>
          <w:color w:val="auto"/>
          <w:sz w:val="22"/>
          <w:szCs w:val="24"/>
          <w:lang w:eastAsia="fr-FR"/>
        </w:rPr>
        <w:t>, il sera considéré qu’il n’y a pas de potentiel de production d’électricité par géothermie.</w:t>
      </w:r>
    </w:p>
    <w:p w14:paraId="76F1A064" w14:textId="094F0CFF" w:rsidR="00CD3156" w:rsidRPr="00972BFE" w:rsidRDefault="00CD3156" w:rsidP="00972BFE">
      <w:pPr>
        <w:pStyle w:val="Titre4"/>
        <w:rPr>
          <w:rFonts w:ascii="Calibri" w:eastAsia="Batang" w:hAnsi="Calibri" w:cs="Times New Roman"/>
          <w:szCs w:val="24"/>
        </w:rPr>
      </w:pPr>
      <w:r>
        <w:t>Production de chaleur à partir de la géothermie</w:t>
      </w:r>
    </w:p>
    <w:p w14:paraId="2EA308FA" w14:textId="77777777" w:rsidR="00CD3156" w:rsidRDefault="00CD3156" w:rsidP="00CD3156">
      <w:pPr>
        <w:pStyle w:val="Style6"/>
        <w:rPr>
          <w:rFonts w:ascii="Calibri" w:eastAsia="Batang" w:hAnsi="Calibri" w:cs="Times New Roman"/>
          <w:b w:val="0"/>
          <w:color w:val="auto"/>
          <w:sz w:val="22"/>
          <w:szCs w:val="24"/>
          <w:lang w:eastAsia="fr-FR"/>
        </w:rPr>
      </w:pPr>
      <w:r w:rsidRPr="000910CA">
        <w:rPr>
          <w:rFonts w:ascii="Calibri" w:eastAsia="Batang" w:hAnsi="Calibri" w:cs="Times New Roman"/>
          <w:b w:val="0"/>
          <w:color w:val="auto"/>
          <w:sz w:val="22"/>
          <w:szCs w:val="24"/>
          <w:lang w:eastAsia="fr-FR"/>
        </w:rPr>
        <w:t>Le potentiel de production de chaleur issue de la géothermie très basse énergie est calculé à partir de la part de la consommation de chaleur sur le territoire qui pourrait être couverte par la géothermie, ainsi que l’intensité du potentiel de l’aquifère concerné.</w:t>
      </w:r>
      <w:r>
        <w:rPr>
          <w:rFonts w:ascii="Calibri" w:eastAsia="Batang" w:hAnsi="Calibri" w:cs="Times New Roman"/>
          <w:b w:val="0"/>
          <w:color w:val="auto"/>
          <w:sz w:val="22"/>
          <w:szCs w:val="24"/>
          <w:lang w:eastAsia="fr-FR"/>
        </w:rPr>
        <w:tab/>
      </w:r>
    </w:p>
    <w:p w14:paraId="3F9C20FB" w14:textId="1032EA7A" w:rsidR="00CD3156" w:rsidRPr="00DC0041" w:rsidRDefault="00CD3156" w:rsidP="00CD3156">
      <w:r w:rsidRPr="00DC0041">
        <w:t xml:space="preserve">On considère que le potentiel géothermique brut pour l’EPCI permet de couvrir </w:t>
      </w:r>
      <w:r w:rsidRPr="00DC0041">
        <w:rPr>
          <w:b/>
          <w:bCs/>
        </w:rPr>
        <w:t>17% des besoins de chauffage</w:t>
      </w:r>
      <w:r w:rsidRPr="00DC0041">
        <w:t xml:space="preserve"> pour le résidentiel et le tertiaire</w:t>
      </w:r>
      <w:r>
        <w:t xml:space="preserve"> (substitution des produits pétrolier</w:t>
      </w:r>
      <w:r w:rsidR="00080D44">
        <w:t>s</w:t>
      </w:r>
      <w:r>
        <w:t xml:space="preserve"> et gaz)</w:t>
      </w:r>
      <w:r w:rsidRPr="00DC0041">
        <w:t xml:space="preserve">. Les besoins de chauffage sont extraits des documents </w:t>
      </w:r>
      <w:r>
        <w:t>du ROSE</w:t>
      </w:r>
      <w:r w:rsidRPr="00DC0041">
        <w:t xml:space="preserve"> faisant état des consommations et des émissions de GES dans les secteurs du résidentiel et du tertiaire.</w:t>
      </w:r>
      <w:r>
        <w:t xml:space="preserve"> </w:t>
      </w:r>
    </w:p>
    <w:p w14:paraId="63AA25EE" w14:textId="77777777" w:rsidR="00CD3156" w:rsidRPr="00DC0041" w:rsidRDefault="00CD3156" w:rsidP="00CD3156"/>
    <w:p w14:paraId="2D965ED4" w14:textId="1466719B" w:rsidR="00CD3156" w:rsidRPr="00532B9B" w:rsidRDefault="00CD3156" w:rsidP="00CD3156">
      <w:r w:rsidRPr="0082369B">
        <w:lastRenderedPageBreak/>
        <w:t>Les besoins en chauffage du secteur résidentiel fournis par le ROSE permettent d’évaluer le potentiel géothermique brut de l’EPCI à</w:t>
      </w:r>
      <w:r w:rsidRPr="0082369B">
        <w:rPr>
          <w:b/>
          <w:bCs/>
        </w:rPr>
        <w:t xml:space="preserve"> 159 600 MWh </w:t>
      </w:r>
      <w:r w:rsidRPr="0082369B">
        <w:t>(si l’on considère que l’on peut substituer 100% des consommation liée au chauffage).</w:t>
      </w:r>
    </w:p>
    <w:p w14:paraId="1422C37B" w14:textId="1975C996" w:rsidR="00532B9B" w:rsidRPr="00AA2805" w:rsidRDefault="00CD3156" w:rsidP="00CD3156">
      <w:r w:rsidRPr="00DC0041">
        <w:t xml:space="preserve">Une partie des consommations de chauffage du résidentiel et tertiaire se font à l’électricité ou au bois énergie. </w:t>
      </w:r>
      <w:r w:rsidR="00080D44">
        <w:t>Pour les consommations de chauffage couvertes par du bois, il</w:t>
      </w:r>
      <w:r w:rsidRPr="00DC0041">
        <w:t xml:space="preserve"> n’est pas nécessaire de remplacer </w:t>
      </w:r>
      <w:r w:rsidR="00080D44">
        <w:t>la</w:t>
      </w:r>
      <w:r w:rsidRPr="00DC0041">
        <w:t xml:space="preserve"> source d’énergies par de la géothermie</w:t>
      </w:r>
      <w:r w:rsidR="00080D44">
        <w:t>. Dans le cas du chauffage à l’électricité, l’installation technique existante est moins compatible avec la mise en place d’une installation géothermique, elle est donc considérée comme moins prioritaire.</w:t>
      </w:r>
      <w:r w:rsidRPr="00DC0041">
        <w:t xml:space="preserve"> </w:t>
      </w:r>
      <w:r w:rsidR="00080D44">
        <w:t>C</w:t>
      </w:r>
      <w:r w:rsidRPr="00DC0041">
        <w:t xml:space="preserve">’est pourquoi le </w:t>
      </w:r>
      <w:r w:rsidRPr="00DC0041">
        <w:rPr>
          <w:b/>
          <w:bCs/>
        </w:rPr>
        <w:t>potentiel net</w:t>
      </w:r>
      <w:r w:rsidRPr="00DC0041">
        <w:t xml:space="preserve"> géothermique du territoire ne prend pas ces besoins en compte.</w:t>
      </w:r>
    </w:p>
    <w:p w14:paraId="7E4DB016" w14:textId="1B61DCF5" w:rsidR="00CD3156" w:rsidRPr="00532B9B" w:rsidRDefault="00CD3156" w:rsidP="00CD3156">
      <w:r w:rsidRPr="0082369B">
        <w:t xml:space="preserve">Après application du ratio de 17% évoqué ci-dessus, le </w:t>
      </w:r>
      <w:r w:rsidRPr="0082369B">
        <w:rPr>
          <w:b/>
          <w:bCs/>
        </w:rPr>
        <w:t>potentiel net</w:t>
      </w:r>
      <w:r w:rsidRPr="0082369B">
        <w:t xml:space="preserve"> du territoire est alors de </w:t>
      </w:r>
      <w:r w:rsidRPr="0082369B">
        <w:rPr>
          <w:b/>
          <w:bCs/>
        </w:rPr>
        <w:t>27 114 MWh</w:t>
      </w:r>
      <w:r w:rsidR="00532B9B">
        <w:t>.</w:t>
      </w:r>
    </w:p>
    <w:p w14:paraId="445DFEDE" w14:textId="56C32D33" w:rsidR="00532B9B" w:rsidRPr="00532B9B" w:rsidRDefault="00CD3156" w:rsidP="00532B9B">
      <w:r w:rsidRPr="0082369B">
        <w:t xml:space="preserve">Les zones où l’avis d’un expert sera nécessaire (cf. figure </w:t>
      </w:r>
      <w:r>
        <w:t>27</w:t>
      </w:r>
      <w:r w:rsidRPr="0082369B">
        <w:t>) représentent 8% de la surface totale du territoire.</w:t>
      </w:r>
      <w:r w:rsidR="00710CC3">
        <w:br/>
      </w:r>
    </w:p>
    <w:p w14:paraId="515B511D" w14:textId="4D54222C" w:rsidR="00CD3156" w:rsidRPr="00AA2805" w:rsidRDefault="00CD3156" w:rsidP="00EA1E3D">
      <w:pPr>
        <w:pStyle w:val="Lgende"/>
        <w:keepNext/>
        <w:jc w:val="center"/>
      </w:pPr>
      <w:bookmarkStart w:id="139" w:name="_Toc126093076"/>
      <w:r w:rsidRPr="00AA2805">
        <w:t xml:space="preserve">Tableau </w:t>
      </w:r>
      <w:r>
        <w:t>18</w:t>
      </w:r>
      <w:r w:rsidRPr="00AA2805">
        <w:t xml:space="preserve"> : Récapitulatif du potentiel de production de chaleur issue de la géothermie sur sondes sur le territoire d‘étude</w:t>
      </w:r>
      <w:bookmarkEnd w:id="139"/>
    </w:p>
    <w:tbl>
      <w:tblPr>
        <w:tblStyle w:val="AKAtab1"/>
        <w:tblW w:w="9062" w:type="dxa"/>
        <w:tblLook w:val="04A0" w:firstRow="1" w:lastRow="0" w:firstColumn="1" w:lastColumn="0" w:noHBand="0" w:noVBand="1"/>
      </w:tblPr>
      <w:tblGrid>
        <w:gridCol w:w="2689"/>
        <w:gridCol w:w="6373"/>
      </w:tblGrid>
      <w:tr w:rsidR="00CD3156" w:rsidRPr="00D97581" w14:paraId="3720C4BD" w14:textId="77777777" w:rsidTr="00231BC1">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374397BB" w14:textId="77777777" w:rsidR="00CD3156" w:rsidRPr="00D97581" w:rsidRDefault="00CD3156" w:rsidP="00231BC1">
            <w:pPr>
              <w:keepNext/>
              <w:ind w:right="4117"/>
              <w:jc w:val="left"/>
              <w:rPr>
                <w:rFonts w:eastAsia="Times New Roman" w:cs="Calibri"/>
                <w:b w:val="0"/>
                <w:bCs/>
                <w:color w:val="FFFFFF"/>
                <w:highlight w:val="yellow"/>
              </w:rPr>
            </w:pPr>
            <w:r w:rsidRPr="00AA2805">
              <w:rPr>
                <w:rFonts w:eastAsia="Times New Roman" w:cs="Calibri"/>
                <w:b w:val="0"/>
                <w:bCs/>
                <w:color w:val="FFFFFF"/>
              </w:rPr>
              <w:t>Filière : Géothermie</w:t>
            </w:r>
          </w:p>
        </w:tc>
      </w:tr>
      <w:tr w:rsidR="00231BC1" w:rsidRPr="00D97581" w14:paraId="6B933C95" w14:textId="77777777" w:rsidTr="00231BC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4ABA63CB" w14:textId="77777777" w:rsidR="00231BC1" w:rsidRPr="00D97581" w:rsidRDefault="00231BC1" w:rsidP="00231BC1">
            <w:pPr>
              <w:keepNext/>
              <w:jc w:val="center"/>
              <w:rPr>
                <w:rFonts w:eastAsia="Times New Roman" w:cs="Calibri"/>
                <w:b/>
                <w:bCs/>
                <w:color w:val="000000"/>
                <w:highlight w:val="yellow"/>
              </w:rPr>
            </w:pPr>
            <w:r w:rsidRPr="00AA2805">
              <w:rPr>
                <w:rFonts w:eastAsia="Times New Roman" w:cs="Calibri"/>
                <w:b/>
                <w:bCs/>
                <w:color w:val="000000"/>
              </w:rPr>
              <w:t>CC Haute Vallée de Chevreuse</w:t>
            </w:r>
          </w:p>
        </w:tc>
      </w:tr>
      <w:tr w:rsidR="00CD3156" w:rsidRPr="00D97581" w14:paraId="6F0A5A45" w14:textId="77777777" w:rsidTr="00231BC1">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689" w:type="dxa"/>
          </w:tcPr>
          <w:p w14:paraId="0A88182B" w14:textId="77777777" w:rsidR="00CD3156" w:rsidRPr="00AA2805" w:rsidRDefault="00CD3156" w:rsidP="00231BC1">
            <w:pPr>
              <w:keepNext/>
              <w:jc w:val="center"/>
              <w:rPr>
                <w:rFonts w:eastAsia="Times New Roman" w:cs="Calibri"/>
                <w:b/>
                <w:bCs/>
                <w:color w:val="000000"/>
              </w:rPr>
            </w:pPr>
            <w:r w:rsidRPr="00AA2805">
              <w:rPr>
                <w:rFonts w:eastAsia="Times New Roman" w:cs="Calibri"/>
                <w:b/>
                <w:bCs/>
                <w:color w:val="000000"/>
              </w:rPr>
              <w:t>Potentiel brut</w:t>
            </w:r>
          </w:p>
        </w:tc>
        <w:tc>
          <w:tcPr>
            <w:tcW w:w="6373" w:type="dxa"/>
            <w:noWrap/>
          </w:tcPr>
          <w:p w14:paraId="2213DCCD" w14:textId="77777777" w:rsidR="00CD3156" w:rsidRPr="00AA2805" w:rsidRDefault="00CD3156" w:rsidP="00231BC1">
            <w:pPr>
              <w:keepNext/>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sidRPr="0082369B">
              <w:t>159 600 MWh</w:t>
            </w:r>
          </w:p>
        </w:tc>
      </w:tr>
      <w:tr w:rsidR="00CD3156" w:rsidRPr="00D97581" w14:paraId="5DA06193" w14:textId="77777777" w:rsidTr="00231BC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689" w:type="dxa"/>
          </w:tcPr>
          <w:p w14:paraId="7B35F2F0" w14:textId="77777777" w:rsidR="00CD3156" w:rsidRPr="00AA2805" w:rsidRDefault="00CD3156" w:rsidP="00231BC1">
            <w:pPr>
              <w:keepNext/>
              <w:jc w:val="center"/>
              <w:rPr>
                <w:rFonts w:eastAsia="Times New Roman" w:cs="Calibri"/>
                <w:b/>
                <w:bCs/>
                <w:color w:val="000000"/>
              </w:rPr>
            </w:pPr>
            <w:r w:rsidRPr="00AA2805">
              <w:rPr>
                <w:rFonts w:eastAsia="Times New Roman" w:cs="Calibri"/>
                <w:b/>
                <w:bCs/>
                <w:color w:val="000000"/>
              </w:rPr>
              <w:t>Potentiel net</w:t>
            </w:r>
          </w:p>
        </w:tc>
        <w:tc>
          <w:tcPr>
            <w:tcW w:w="6373" w:type="dxa"/>
            <w:noWrap/>
          </w:tcPr>
          <w:p w14:paraId="5FB5D45A" w14:textId="77777777" w:rsidR="00CD3156" w:rsidRPr="00AA2805" w:rsidRDefault="00CD3156" w:rsidP="00231BC1">
            <w:pPr>
              <w:keepNext/>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sidRPr="00AA2805">
              <w:t>27 114 MWh</w:t>
            </w:r>
          </w:p>
        </w:tc>
      </w:tr>
    </w:tbl>
    <w:p w14:paraId="6CCC3F48" w14:textId="77777777" w:rsidR="00CD3156" w:rsidRDefault="00CD3156" w:rsidP="00CD3156">
      <w:pPr>
        <w:spacing w:after="160" w:line="259" w:lineRule="auto"/>
        <w:jc w:val="left"/>
        <w:rPr>
          <w:b/>
          <w:i/>
          <w:sz w:val="32"/>
          <w:szCs w:val="32"/>
          <w:highlight w:val="yellow"/>
        </w:rPr>
      </w:pPr>
    </w:p>
    <w:p w14:paraId="72A4A929" w14:textId="77777777" w:rsidR="00CD3156" w:rsidRPr="00F16BFD" w:rsidRDefault="00CD3156" w:rsidP="00231BC1">
      <w:pPr>
        <w:pStyle w:val="Titre4"/>
        <w:rPr>
          <w:rFonts w:eastAsiaTheme="minorHAnsi"/>
          <w:lang w:bidi="en-US"/>
        </w:rPr>
      </w:pPr>
      <w:r w:rsidRPr="00F16BFD">
        <w:rPr>
          <w:rFonts w:eastAsiaTheme="minorHAnsi"/>
          <w:lang w:bidi="en-US"/>
        </w:rPr>
        <w:t>Contraintes et préconisations liées à la mobilisation du potentiel</w:t>
      </w:r>
    </w:p>
    <w:p w14:paraId="31FA7B69" w14:textId="77777777" w:rsidR="00CD3156" w:rsidRPr="00F57301" w:rsidRDefault="00CD3156" w:rsidP="00CD3156">
      <w:pPr>
        <w:tabs>
          <w:tab w:val="num" w:pos="2880"/>
        </w:tabs>
        <w:spacing w:after="160" w:line="259" w:lineRule="auto"/>
      </w:pPr>
      <w:r>
        <w:br/>
      </w:r>
      <w:r w:rsidRPr="00F57301">
        <w:t xml:space="preserve">La ressource géothermique est largement disponible sur le territoire de la CC Haute Vallée de Chevreuse, néanmoins, le coût des forages ainsi que les contraintes d’espace autour des bâtiments ou la compatibilité de la pompe à chaleur géothermique avec le système de chauffage existant peuvent en faire un potentiel un peu plus difficile à mobiliser. </w:t>
      </w:r>
    </w:p>
    <w:p w14:paraId="715D4C2D" w14:textId="77777777" w:rsidR="00CD3156" w:rsidRPr="00F57301" w:rsidRDefault="00CD3156" w:rsidP="00CD3156">
      <w:pPr>
        <w:tabs>
          <w:tab w:val="num" w:pos="2880"/>
        </w:tabs>
        <w:spacing w:after="160" w:line="259" w:lineRule="auto"/>
      </w:pPr>
      <w:r w:rsidRPr="00F57301">
        <w:t>Chaque projet devra s’appuyer sur une étude complémentaire réalisée par le porteur de projet.</w:t>
      </w:r>
    </w:p>
    <w:p w14:paraId="23403CCE" w14:textId="77777777" w:rsidR="00CD3156" w:rsidRPr="00CC52C7" w:rsidRDefault="00CD3156" w:rsidP="00CD3156">
      <w:pPr>
        <w:tabs>
          <w:tab w:val="num" w:pos="2160"/>
        </w:tabs>
        <w:spacing w:after="160" w:line="259" w:lineRule="auto"/>
      </w:pPr>
      <w:r>
        <w:t>Pour les</w:t>
      </w:r>
      <w:r w:rsidRPr="00CC52C7">
        <w:t xml:space="preserve"> </w:t>
      </w:r>
      <w:r w:rsidRPr="00F57301">
        <w:t>bâtiments tertiaires de surface importante</w:t>
      </w:r>
      <w:r>
        <w:t>, i</w:t>
      </w:r>
      <w:r w:rsidRPr="00CC52C7">
        <w:t xml:space="preserve">l sera important de s’assurer de la réversibilité de la </w:t>
      </w:r>
      <w:r w:rsidRPr="00F57301">
        <w:t xml:space="preserve">PAC </w:t>
      </w:r>
      <w:r w:rsidRPr="00CC52C7">
        <w:t>installée</w:t>
      </w:r>
      <w:r w:rsidRPr="00F57301">
        <w:t xml:space="preserve"> sur aquifère</w:t>
      </w:r>
      <w:r>
        <w:t>. L</w:t>
      </w:r>
      <w:r w:rsidRPr="00CC52C7">
        <w:t xml:space="preserve">es maisons </w:t>
      </w:r>
      <w:r w:rsidRPr="00F57301">
        <w:t>neuves de particuliers</w:t>
      </w:r>
      <w:r w:rsidRPr="00CC52C7">
        <w:t xml:space="preserve"> </w:t>
      </w:r>
      <w:r>
        <w:t>pourront</w:t>
      </w:r>
      <w:r w:rsidRPr="00CC52C7">
        <w:t xml:space="preserve"> être équipées en priorité d’une </w:t>
      </w:r>
      <w:r w:rsidRPr="00F57301">
        <w:t xml:space="preserve">PAC </w:t>
      </w:r>
      <w:r>
        <w:t xml:space="preserve">posée </w:t>
      </w:r>
      <w:r w:rsidRPr="00F57301">
        <w:t>sur sous-sol</w:t>
      </w:r>
      <w:r w:rsidRPr="00CC52C7">
        <w:t xml:space="preserve">. </w:t>
      </w:r>
    </w:p>
    <w:p w14:paraId="72697862" w14:textId="77777777" w:rsidR="00CD3156" w:rsidRPr="009E2616" w:rsidRDefault="00CD3156" w:rsidP="002708C8">
      <w:pPr>
        <w:pStyle w:val="Titre3"/>
        <w:ind w:left="2818"/>
      </w:pPr>
      <w:bookmarkStart w:id="140" w:name="_Toc129784755"/>
      <w:bookmarkEnd w:id="133"/>
      <w:r w:rsidRPr="009E2616">
        <w:t>Les pompes à chaleur</w:t>
      </w:r>
      <w:r>
        <w:t xml:space="preserve"> aérothermiques</w:t>
      </w:r>
      <w:bookmarkEnd w:id="140"/>
    </w:p>
    <w:p w14:paraId="533C47BA" w14:textId="77777777" w:rsidR="00CD3156" w:rsidRPr="00C12088" w:rsidRDefault="00CD3156" w:rsidP="00C12088">
      <w:pPr>
        <w:rPr>
          <w:rStyle w:val="Rfrencelgre"/>
        </w:rPr>
      </w:pPr>
      <w:r w:rsidRPr="00C12088">
        <w:rPr>
          <w:rStyle w:val="Rfrencelgre"/>
        </w:rPr>
        <w:t>Résultats</w:t>
      </w:r>
    </w:p>
    <w:p w14:paraId="4A989BC9" w14:textId="77777777" w:rsidR="00CD3156" w:rsidRDefault="00CD3156" w:rsidP="00CD3156">
      <w:pPr>
        <w:spacing w:after="160" w:line="259" w:lineRule="auto"/>
      </w:pPr>
      <w:r>
        <w:t xml:space="preserve">Les potentiels de développement concernent les pompes à chaleur aérothermiques (air/air ou air/eau) utilisées pour le chauffage de bâtiments. </w:t>
      </w:r>
    </w:p>
    <w:p w14:paraId="5B9D5977" w14:textId="77777777" w:rsidR="00CD3156" w:rsidRDefault="00CD3156" w:rsidP="00CD3156">
      <w:pPr>
        <w:spacing w:after="160" w:line="259" w:lineRule="auto"/>
        <w:rPr>
          <w:highlight w:val="yellow"/>
        </w:rPr>
      </w:pPr>
      <w:r>
        <w:t xml:space="preserve">On considère que les pompes à chaleur aérothermiques peuvent potentiellement couvrir 100% des besoins de chaleur des secteurs résidentiel et tertiaire. Sur le territoire de la CC de la Haute Vallée de Chevreuse, cette consommation </w:t>
      </w:r>
      <w:r w:rsidRPr="009F56D8">
        <w:t>s’élève à</w:t>
      </w:r>
      <w:r w:rsidRPr="009F56D8">
        <w:rPr>
          <w:b/>
          <w:bCs/>
        </w:rPr>
        <w:t xml:space="preserve"> </w:t>
      </w:r>
      <w:r>
        <w:t>195 150</w:t>
      </w:r>
      <w:r w:rsidRPr="00E1268A">
        <w:t xml:space="preserve"> MWh</w:t>
      </w:r>
      <w:r w:rsidRPr="009F56D8">
        <w:t xml:space="preserve">. </w:t>
      </w:r>
    </w:p>
    <w:p w14:paraId="062698EB" w14:textId="77777777" w:rsidR="00CD3156" w:rsidRPr="00C12088" w:rsidRDefault="00CD3156" w:rsidP="00C12088">
      <w:pPr>
        <w:rPr>
          <w:rStyle w:val="Rfrencelgre"/>
        </w:rPr>
      </w:pPr>
      <w:r w:rsidRPr="00C12088">
        <w:rPr>
          <w:rStyle w:val="Rfrencelgre"/>
        </w:rPr>
        <w:t>Contraintes à prendre en compte</w:t>
      </w:r>
    </w:p>
    <w:p w14:paraId="11C5228D" w14:textId="39EF7501" w:rsidR="00CD3156" w:rsidRDefault="00CD3156" w:rsidP="00CD3156">
      <w:pPr>
        <w:spacing w:after="160" w:line="259" w:lineRule="auto"/>
      </w:pPr>
      <w:r>
        <w:t xml:space="preserve">La technologie des pompes à chaleur aérothermiques est peu adaptée aux bâtiments anciens, où les températures des réseaux de chauffage sont trop élevées. On ne considère donc pas la consommation de chaleur des bâtiments construits avant 1971, représentant </w:t>
      </w:r>
      <w:r w:rsidR="007A4741">
        <w:t>61</w:t>
      </w:r>
      <w:r>
        <w:t xml:space="preserve">% des consommations. </w:t>
      </w:r>
    </w:p>
    <w:p w14:paraId="542CC302" w14:textId="77777777" w:rsidR="00381BD6" w:rsidRDefault="00381BD6" w:rsidP="00C12088">
      <w:pPr>
        <w:rPr>
          <w:rStyle w:val="Rfrencelgre"/>
        </w:rPr>
      </w:pPr>
    </w:p>
    <w:p w14:paraId="52CB3105" w14:textId="53BB515A" w:rsidR="00CD3156" w:rsidRPr="00C12088" w:rsidRDefault="00CD3156" w:rsidP="00C12088">
      <w:pPr>
        <w:rPr>
          <w:rStyle w:val="Rfrencelgre"/>
        </w:rPr>
      </w:pPr>
      <w:r w:rsidRPr="00C12088">
        <w:rPr>
          <w:rStyle w:val="Rfrencelgre"/>
        </w:rPr>
        <w:t>Bilan</w:t>
      </w:r>
    </w:p>
    <w:p w14:paraId="582476B0" w14:textId="7971817D" w:rsidR="00CD3156" w:rsidRDefault="00CD3156" w:rsidP="00CD3156">
      <w:pPr>
        <w:spacing w:after="160" w:line="259" w:lineRule="auto"/>
      </w:pPr>
      <w:r>
        <w:t xml:space="preserve">Le </w:t>
      </w:r>
      <w:r w:rsidRPr="00724216">
        <w:rPr>
          <w:b/>
          <w:bCs/>
        </w:rPr>
        <w:t xml:space="preserve">potentiel global </w:t>
      </w:r>
      <w:r w:rsidRPr="00724216">
        <w:t>de production de chaleur renouvelable</w:t>
      </w:r>
      <w:r>
        <w:t xml:space="preserve"> à partir de pompes à chaleur aérothermiques est de </w:t>
      </w:r>
      <w:r w:rsidRPr="00724216">
        <w:rPr>
          <w:b/>
          <w:bCs/>
        </w:rPr>
        <w:t>119</w:t>
      </w:r>
      <w:r w:rsidR="0079738D">
        <w:rPr>
          <w:b/>
          <w:bCs/>
        </w:rPr>
        <w:t> </w:t>
      </w:r>
      <w:r w:rsidRPr="00724216">
        <w:rPr>
          <w:b/>
          <w:bCs/>
        </w:rPr>
        <w:t>5</w:t>
      </w:r>
      <w:r w:rsidR="007A4741">
        <w:rPr>
          <w:b/>
          <w:bCs/>
        </w:rPr>
        <w:t>40</w:t>
      </w:r>
      <w:r w:rsidRPr="00724216">
        <w:rPr>
          <w:b/>
          <w:bCs/>
        </w:rPr>
        <w:t xml:space="preserve"> MWh</w:t>
      </w:r>
      <w:r>
        <w:t xml:space="preserve">. </w:t>
      </w:r>
    </w:p>
    <w:p w14:paraId="3D834828" w14:textId="47A0495A" w:rsidR="007A4741" w:rsidRDefault="007A4741" w:rsidP="00CD3156">
      <w:pPr>
        <w:spacing w:after="160" w:line="259" w:lineRule="auto"/>
      </w:pPr>
      <w:r w:rsidRPr="00E1268A">
        <w:t>En retranchant la consommation électrique des PAC</w:t>
      </w:r>
      <w:r w:rsidRPr="00E1268A">
        <w:rPr>
          <w:rStyle w:val="Appelnotedebasdep"/>
        </w:rPr>
        <w:footnoteReference w:id="4"/>
      </w:r>
      <w:r w:rsidRPr="00E1268A">
        <w:t xml:space="preserve">, le potentiel de production de chaleur renouvelable par les PAC est évalué à </w:t>
      </w:r>
      <w:r>
        <w:rPr>
          <w:b/>
          <w:bCs/>
        </w:rPr>
        <w:t>71 720</w:t>
      </w:r>
      <w:r w:rsidRPr="00E1268A">
        <w:rPr>
          <w:b/>
          <w:bCs/>
        </w:rPr>
        <w:t xml:space="preserve"> MWh</w:t>
      </w:r>
      <w:r w:rsidRPr="00E1268A">
        <w:t xml:space="preserve"> sur le territoire de la Communauté de communes.</w:t>
      </w:r>
    </w:p>
    <w:p w14:paraId="09EA3108" w14:textId="77777777" w:rsidR="00CD3156" w:rsidRDefault="00CD3156" w:rsidP="00CD3156">
      <w:pPr>
        <w:spacing w:after="160" w:line="259" w:lineRule="auto"/>
      </w:pPr>
      <w:r w:rsidRPr="00E1268A">
        <w:rPr>
          <w:u w:val="single"/>
        </w:rPr>
        <w:t>Point d’attention :</w:t>
      </w:r>
      <w:r>
        <w:t xml:space="preserve"> La mise en place de pompes à chaleur aérothermiques va permettre d’augmenter la production d’énergie renouvelable et réduire la consommation d’énergies fossiles comme le gaz ou le fioul. Cependant, il faut noter que le fait de substituer un chauffage au gaz par une PAC entrainera l’augmentation de la consommation d’électricité, afin d’alimenter cette PAC. </w:t>
      </w:r>
    </w:p>
    <w:p w14:paraId="3D598846" w14:textId="16973432" w:rsidR="00CD3156" w:rsidRPr="00367740" w:rsidRDefault="00CD3156" w:rsidP="00CD3156">
      <w:pPr>
        <w:spacing w:after="160" w:line="259" w:lineRule="auto"/>
        <w:rPr>
          <w:b/>
        </w:rPr>
      </w:pPr>
      <w:r w:rsidRPr="00367740">
        <w:rPr>
          <w:b/>
        </w:rPr>
        <w:t xml:space="preserve">Pour un potentiel de </w:t>
      </w:r>
      <w:r w:rsidR="007A4741">
        <w:rPr>
          <w:b/>
        </w:rPr>
        <w:t>71 720</w:t>
      </w:r>
      <w:r w:rsidRPr="00367740">
        <w:rPr>
          <w:b/>
        </w:rPr>
        <w:t xml:space="preserve"> MWh de production de chaleur renouvelable, l’augmentation de la consommation d’électricité sera de 47 815 MWh.</w:t>
      </w:r>
    </w:p>
    <w:p w14:paraId="50B6D7F6" w14:textId="77777777" w:rsidR="00367740" w:rsidRDefault="00CD3156" w:rsidP="00367740">
      <w:pPr>
        <w:keepNext/>
        <w:spacing w:after="160" w:line="259" w:lineRule="auto"/>
        <w:jc w:val="center"/>
      </w:pPr>
      <w:r>
        <w:rPr>
          <w:noProof/>
        </w:rPr>
        <w:drawing>
          <wp:inline distT="0" distB="0" distL="0" distR="0" wp14:anchorId="2739B6F3" wp14:editId="1B077460">
            <wp:extent cx="4572000" cy="2466975"/>
            <wp:effectExtent l="0" t="0" r="0" b="9525"/>
            <wp:docPr id="38" name="Graphique 38">
              <a:extLst xmlns:a="http://schemas.openxmlformats.org/drawingml/2006/main">
                <a:ext uri="{FF2B5EF4-FFF2-40B4-BE49-F238E27FC236}">
                  <a16:creationId xmlns:a16="http://schemas.microsoft.com/office/drawing/2014/main" id="{D35235F3-5BEA-95BA-3EB4-279394C75D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FF7037C" w14:textId="7AAEB29F" w:rsidR="00CD3156" w:rsidRDefault="00367740" w:rsidP="00367740">
      <w:pPr>
        <w:pStyle w:val="Lgende"/>
        <w:jc w:val="center"/>
      </w:pPr>
      <w:bookmarkStart w:id="141" w:name="_Toc129786582"/>
      <w:r>
        <w:t xml:space="preserve">Figure </w:t>
      </w:r>
      <w:r w:rsidR="00D56558">
        <w:fldChar w:fldCharType="begin"/>
      </w:r>
      <w:r w:rsidR="00D56558">
        <w:instrText xml:space="preserve"> SEQ Figure \* ARABIC </w:instrText>
      </w:r>
      <w:r w:rsidR="00D56558">
        <w:fldChar w:fldCharType="separate"/>
      </w:r>
      <w:r>
        <w:rPr>
          <w:noProof/>
        </w:rPr>
        <w:t>28</w:t>
      </w:r>
      <w:r w:rsidR="00D56558">
        <w:rPr>
          <w:noProof/>
        </w:rPr>
        <w:fldChar w:fldCharType="end"/>
      </w:r>
      <w:r>
        <w:t xml:space="preserve"> : </w:t>
      </w:r>
      <w:r w:rsidRPr="00A04341">
        <w:t>Répartition par commune du potentiel de production d'énergie des PAC</w:t>
      </w:r>
      <w:bookmarkEnd w:id="141"/>
      <w:r w:rsidR="007A4741">
        <w:br/>
      </w:r>
    </w:p>
    <w:p w14:paraId="57232184" w14:textId="79C99832" w:rsidR="00B12CF9" w:rsidRDefault="00CD3156" w:rsidP="00CD3156">
      <w:pPr>
        <w:spacing w:after="160" w:line="259" w:lineRule="auto"/>
      </w:pPr>
      <w:r>
        <w:t xml:space="preserve">La production de chaleur renouvelable issue des PAC permettrait de couvrir 37% des besoins en chaleur des secteurs résidentiel et tertiaire du territoire. </w:t>
      </w:r>
    </w:p>
    <w:p w14:paraId="2E99A842" w14:textId="15ACC525" w:rsidR="00CD3156" w:rsidRPr="00AA2805" w:rsidRDefault="00CD3156" w:rsidP="00EA1E3D">
      <w:pPr>
        <w:pStyle w:val="Lgende"/>
        <w:keepNext/>
        <w:jc w:val="center"/>
      </w:pPr>
      <w:bookmarkStart w:id="142" w:name="_Toc126093077"/>
      <w:r w:rsidRPr="00786516">
        <w:t xml:space="preserve">Tableau </w:t>
      </w:r>
      <w:r>
        <w:t>19</w:t>
      </w:r>
      <w:r w:rsidRPr="00786516">
        <w:t xml:space="preserve"> : Récapitulatif du potentiel de production de chaleur is</w:t>
      </w:r>
      <w:r w:rsidR="00367740">
        <w:t xml:space="preserve">sue </w:t>
      </w:r>
      <w:r w:rsidRPr="00786516">
        <w:t>des PAC aérothermiques sur la CCHVC</w:t>
      </w:r>
      <w:bookmarkEnd w:id="142"/>
    </w:p>
    <w:tbl>
      <w:tblPr>
        <w:tblStyle w:val="AKAtab1"/>
        <w:tblW w:w="9062" w:type="dxa"/>
        <w:tblLook w:val="04A0" w:firstRow="1" w:lastRow="0" w:firstColumn="1" w:lastColumn="0" w:noHBand="0" w:noVBand="1"/>
      </w:tblPr>
      <w:tblGrid>
        <w:gridCol w:w="2689"/>
        <w:gridCol w:w="6373"/>
      </w:tblGrid>
      <w:tr w:rsidR="00CD3156" w:rsidRPr="00D97581" w14:paraId="32187560" w14:textId="77777777" w:rsidTr="00754020">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57D8C55D" w14:textId="77777777" w:rsidR="00CD3156" w:rsidRPr="00D97581" w:rsidRDefault="00CD3156" w:rsidP="00231BC1">
            <w:pPr>
              <w:keepNext/>
              <w:ind w:right="4117"/>
              <w:jc w:val="left"/>
              <w:rPr>
                <w:rFonts w:eastAsia="Times New Roman" w:cs="Calibri"/>
                <w:b w:val="0"/>
                <w:bCs/>
                <w:color w:val="FFFFFF"/>
                <w:highlight w:val="yellow"/>
              </w:rPr>
            </w:pPr>
            <w:r w:rsidRPr="00AA2805">
              <w:rPr>
                <w:rFonts w:eastAsia="Times New Roman" w:cs="Calibri"/>
                <w:b w:val="0"/>
                <w:bCs/>
                <w:color w:val="FFFFFF"/>
              </w:rPr>
              <w:t>Filière : Géothermie</w:t>
            </w:r>
          </w:p>
        </w:tc>
      </w:tr>
      <w:tr w:rsidR="00CD3156" w:rsidRPr="00D97581" w14:paraId="22BFD944" w14:textId="77777777" w:rsidTr="00754020">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689" w:type="dxa"/>
          </w:tcPr>
          <w:p w14:paraId="6F5BAFA0" w14:textId="77777777" w:rsidR="00CD3156" w:rsidRPr="008B5A8F" w:rsidRDefault="00CD3156" w:rsidP="00231BC1">
            <w:pPr>
              <w:keepNext/>
              <w:jc w:val="left"/>
              <w:rPr>
                <w:rFonts w:eastAsia="Times New Roman" w:cs="Calibri"/>
                <w:color w:val="000000"/>
              </w:rPr>
            </w:pPr>
            <w:r w:rsidRPr="008B5A8F">
              <w:rPr>
                <w:rFonts w:eastAsia="Times New Roman" w:cs="Calibri"/>
                <w:color w:val="000000"/>
              </w:rPr>
              <w:t>Taux de couverture de la consommation de chaleur</w:t>
            </w:r>
          </w:p>
        </w:tc>
        <w:tc>
          <w:tcPr>
            <w:tcW w:w="6373" w:type="dxa"/>
            <w:shd w:val="clear" w:color="auto" w:fill="FBE0DA" w:themeFill="accent2" w:themeFillTint="33"/>
            <w:noWrap/>
          </w:tcPr>
          <w:p w14:paraId="2B6D7F78" w14:textId="77777777" w:rsidR="00CD3156" w:rsidRPr="00501079" w:rsidRDefault="00CD3156" w:rsidP="00231BC1">
            <w:pPr>
              <w:keepNext/>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highlight w:val="yellow"/>
              </w:rPr>
            </w:pPr>
            <w:r w:rsidRPr="00724216">
              <w:t>Production annuelle</w:t>
            </w:r>
          </w:p>
        </w:tc>
      </w:tr>
      <w:tr w:rsidR="00CD3156" w:rsidRPr="00D97581" w14:paraId="197E796C" w14:textId="77777777" w:rsidTr="00754020">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34FEC1CC" w14:textId="77777777" w:rsidR="00CD3156" w:rsidRPr="008B5A8F" w:rsidRDefault="00CD3156" w:rsidP="00231BC1">
            <w:pPr>
              <w:keepNext/>
              <w:jc w:val="center"/>
              <w:rPr>
                <w:rFonts w:eastAsia="Times New Roman" w:cs="Calibri"/>
                <w:color w:val="000000"/>
              </w:rPr>
            </w:pPr>
            <w:r w:rsidRPr="008B5A8F">
              <w:rPr>
                <w:rFonts w:eastAsia="Times New Roman" w:cs="Calibri"/>
                <w:color w:val="000000"/>
              </w:rPr>
              <w:t>37%</w:t>
            </w:r>
          </w:p>
        </w:tc>
        <w:tc>
          <w:tcPr>
            <w:tcW w:w="6373" w:type="dxa"/>
            <w:noWrap/>
          </w:tcPr>
          <w:p w14:paraId="2C5D7C83" w14:textId="36329D72" w:rsidR="00CD3156" w:rsidRPr="00501079" w:rsidRDefault="007A4741" w:rsidP="00231BC1">
            <w:pPr>
              <w:keepNext/>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t>71 720</w:t>
            </w:r>
            <w:r w:rsidR="00CD3156" w:rsidRPr="00724216">
              <w:t xml:space="preserve"> MWh</w:t>
            </w:r>
          </w:p>
        </w:tc>
      </w:tr>
    </w:tbl>
    <w:p w14:paraId="2404D0D2" w14:textId="45E0AECC" w:rsidR="00CD3156" w:rsidRDefault="00CD3156" w:rsidP="00CD3156">
      <w:pPr>
        <w:spacing w:after="160" w:line="259" w:lineRule="auto"/>
        <w:jc w:val="left"/>
      </w:pPr>
      <w:r>
        <w:rPr>
          <w:u w:val="single"/>
        </w:rPr>
        <w:br/>
      </w:r>
      <w:r w:rsidRPr="00501079">
        <w:rPr>
          <w:u w:val="single"/>
        </w:rPr>
        <w:t>Remarque</w:t>
      </w:r>
      <w:r>
        <w:t xml:space="preserve"> : l’objectif fixé par le SRCAE de la région Ile-de-France en 2012 est de doubler le nombre de PAC aérothermiques d’ici 2020, ce qui représente une production de chaleur renouvelable d’environ 107 000 MWh.</w:t>
      </w:r>
      <w:r>
        <w:br/>
      </w:r>
    </w:p>
    <w:p w14:paraId="579EB308" w14:textId="77777777" w:rsidR="00B12CF9" w:rsidRPr="00233678" w:rsidRDefault="00B12CF9" w:rsidP="00CD3156">
      <w:pPr>
        <w:spacing w:after="160" w:line="259" w:lineRule="auto"/>
        <w:jc w:val="left"/>
      </w:pPr>
    </w:p>
    <w:p w14:paraId="67CBBEAF" w14:textId="23251E05" w:rsidR="00CD3156" w:rsidRPr="00367740" w:rsidRDefault="00CD3156" w:rsidP="00367740">
      <w:pPr>
        <w:rPr>
          <w:rStyle w:val="Rfrencelgre"/>
        </w:rPr>
      </w:pPr>
      <w:r w:rsidRPr="00367740">
        <w:rPr>
          <w:rStyle w:val="Rfrencelgre"/>
        </w:rPr>
        <w:lastRenderedPageBreak/>
        <w:t>Contraintes et préconisations liées à la mobilisation du potentiel</w:t>
      </w:r>
    </w:p>
    <w:p w14:paraId="0E5F3AD6" w14:textId="7E471B76" w:rsidR="00CD3156" w:rsidRDefault="00CD3156" w:rsidP="00CD3156">
      <w:pPr>
        <w:spacing w:after="160" w:line="259" w:lineRule="auto"/>
      </w:pPr>
      <w:r>
        <w:t xml:space="preserve">Comme évoqué dans la méthodologie, les pompes à chaleur aérothermiques sont peu </w:t>
      </w:r>
      <w:r w:rsidRPr="00C36651">
        <w:t>compatible</w:t>
      </w:r>
      <w:r>
        <w:t>s</w:t>
      </w:r>
      <w:r w:rsidRPr="00C36651">
        <w:t xml:space="preserve"> avec les</w:t>
      </w:r>
      <w:r w:rsidR="00367740">
        <w:t xml:space="preserve"> </w:t>
      </w:r>
      <w:r w:rsidRPr="00C36651">
        <w:t>systèmes de chauffage anciens à trop haute température</w:t>
      </w:r>
      <w:r>
        <w:t xml:space="preserve">. </w:t>
      </w:r>
      <w:r w:rsidRPr="00C36651">
        <w:t>Dans le cas de bâtiments collectifs, les PAC prennent de l’espace sur les toits et peuvent gêner pour la mise en place de panneaux solaires</w:t>
      </w:r>
      <w:r>
        <w:t xml:space="preserve">. </w:t>
      </w:r>
    </w:p>
    <w:p w14:paraId="75A660D1" w14:textId="4F26384D" w:rsidR="007A4741" w:rsidRDefault="007A4741" w:rsidP="00CD3156">
      <w:pPr>
        <w:spacing w:after="160" w:line="259" w:lineRule="auto"/>
      </w:pPr>
      <w:r>
        <w:t>Il est nécessaire de rappeler que l’installation de PAC induit des consommations d’électricité supplémentaires</w:t>
      </w:r>
      <w:r w:rsidR="00381BD6">
        <w:t xml:space="preserve"> pouvant rendre nécessaire de changer la puissance souscrite du contrat d’électricité. L’installation d’une PAC serait donc à coupler à une production d’électricité renouvelable telle que des panneaux photovoltaïques. </w:t>
      </w:r>
    </w:p>
    <w:p w14:paraId="7660CF7F" w14:textId="77777777" w:rsidR="00CD3156" w:rsidRDefault="00CD3156" w:rsidP="00CD3156">
      <w:pPr>
        <w:spacing w:after="160" w:line="259" w:lineRule="auto"/>
      </w:pPr>
      <w:r>
        <w:t>Au-delà de contraintes liées à l’esthétisme de l’appareil</w:t>
      </w:r>
      <w:r w:rsidRPr="00C36651">
        <w:t xml:space="preserve">, le bruit </w:t>
      </w:r>
      <w:r>
        <w:t xml:space="preserve">généré par les PAC </w:t>
      </w:r>
      <w:r w:rsidRPr="00C36651">
        <w:t>peut causer des soucis d’acceptabilité vis-à-vis du voisinage</w:t>
      </w:r>
      <w:r>
        <w:t>.</w:t>
      </w:r>
    </w:p>
    <w:p w14:paraId="3439A193" w14:textId="41179364" w:rsidR="00381BD6" w:rsidRPr="00C36651" w:rsidRDefault="00CD3156" w:rsidP="00CD3156">
      <w:pPr>
        <w:tabs>
          <w:tab w:val="num" w:pos="1440"/>
          <w:tab w:val="num" w:pos="2160"/>
        </w:tabs>
        <w:spacing w:after="160" w:line="259" w:lineRule="auto"/>
      </w:pPr>
      <w:r>
        <w:t xml:space="preserve">Au regard des contraintes évoquées, ces appareils sont plus susceptibles d’être installés </w:t>
      </w:r>
      <w:r w:rsidRPr="00C36651">
        <w:t xml:space="preserve">sur </w:t>
      </w:r>
      <w:r>
        <w:t xml:space="preserve">des </w:t>
      </w:r>
      <w:r w:rsidRPr="00C36651">
        <w:t>maisons neuves ou récentes (avec plancher chauffant par exemple)</w:t>
      </w:r>
      <w:r>
        <w:t>, pour chauffer des p</w:t>
      </w:r>
      <w:r w:rsidRPr="00C36651">
        <w:t xml:space="preserve">iscines extérieures de particuliers </w:t>
      </w:r>
      <w:r>
        <w:t>ou sur des b</w:t>
      </w:r>
      <w:r w:rsidRPr="00C36651">
        <w:t>âtiments ayant des besoins à la fois de chaleur et de refroidissement</w:t>
      </w:r>
      <w:r w:rsidR="00367740">
        <w:t xml:space="preserve">. </w:t>
      </w:r>
      <w:r w:rsidR="00381BD6">
        <w:tab/>
      </w:r>
      <w:r w:rsidR="00381BD6">
        <w:br/>
      </w:r>
    </w:p>
    <w:p w14:paraId="7B3CF774" w14:textId="43E9AEDA" w:rsidR="00CD3156" w:rsidRDefault="00B7744E" w:rsidP="008A0F26">
      <w:pPr>
        <w:pStyle w:val="Titre2"/>
        <w:ind w:left="1996" w:hanging="578"/>
      </w:pPr>
      <w:bookmarkStart w:id="143" w:name="_Toc129784756"/>
      <w:r>
        <w:t>Production de chaleur, d’électricité ou de carburants à partir d’un même vecteur énergétique</w:t>
      </w:r>
      <w:bookmarkEnd w:id="143"/>
      <w:r>
        <w:t xml:space="preserve"> </w:t>
      </w:r>
    </w:p>
    <w:p w14:paraId="5D55E972" w14:textId="73FE63E0" w:rsidR="00B7744E" w:rsidRDefault="00B7744E" w:rsidP="00381BD6">
      <w:pPr>
        <w:pStyle w:val="Titre3"/>
        <w:ind w:left="2818"/>
      </w:pPr>
      <w:bookmarkStart w:id="144" w:name="_Toc129784757"/>
      <w:r>
        <w:t>Bois énergi</w:t>
      </w:r>
      <w:r w:rsidR="00381BD6">
        <w:t>e</w:t>
      </w:r>
      <w:bookmarkEnd w:id="144"/>
    </w:p>
    <w:p w14:paraId="458D5BA7" w14:textId="77777777" w:rsidR="00B7744E" w:rsidRPr="00866860" w:rsidRDefault="00B7744E" w:rsidP="00866860">
      <w:pPr>
        <w:rPr>
          <w:rStyle w:val="Rfrencelgre"/>
        </w:rPr>
      </w:pPr>
      <w:r w:rsidRPr="00866860">
        <w:rPr>
          <w:rStyle w:val="Rfrencelgre"/>
        </w:rPr>
        <w:t xml:space="preserve">Méthodologie </w:t>
      </w:r>
    </w:p>
    <w:p w14:paraId="76DD8269" w14:textId="07D8F715" w:rsidR="00B7744E" w:rsidRPr="00CB2A57" w:rsidRDefault="00B7744E" w:rsidP="00B7744E">
      <w:r w:rsidRPr="00CB2A57">
        <w:t>La biomasse peut être utilisée pour produire de l’électricité ou de la chaleur suivant le processus d’exploitation de la ressource.</w:t>
      </w:r>
    </w:p>
    <w:p w14:paraId="1071E773" w14:textId="6D8C4126" w:rsidR="00B7744E" w:rsidRPr="00CB2A57" w:rsidRDefault="00B7744E" w:rsidP="00B7744E">
      <w:r w:rsidRPr="00CB2A57">
        <w:t xml:space="preserve">Le potentiel en bois énergie est estimé comme étant la quantité d’énergie potentiellement produite à partir du bois pouvant </w:t>
      </w:r>
      <w:r w:rsidR="00866860">
        <w:t>être prélevé sur le territoire.</w:t>
      </w:r>
    </w:p>
    <w:p w14:paraId="031205AC" w14:textId="77777777" w:rsidR="00A8644A" w:rsidRDefault="00B7744E" w:rsidP="00B7744E">
      <w:r w:rsidRPr="00CB2A57">
        <w:t>Les surfaces de forêts du territoire sont obtenues à partir des données de la BD TOPO : sont prises en compte les forêts de conifères, les forêts de feuillus, et enfin les forêts mixtes.</w:t>
      </w:r>
      <w:r w:rsidR="00A8644A">
        <w:t xml:space="preserve"> </w:t>
      </w:r>
    </w:p>
    <w:p w14:paraId="3FC028EA" w14:textId="71430EE6" w:rsidR="00B7744E" w:rsidRDefault="00A8644A" w:rsidP="00B7744E">
      <w:r>
        <w:t xml:space="preserve">Concernant le bois bocager, le potentiel présenté ci-dessous est estimé au regard de </w:t>
      </w:r>
      <w:r w:rsidRPr="00A8644A">
        <w:t xml:space="preserve">l’accroissement </w:t>
      </w:r>
      <w:r>
        <w:t xml:space="preserve">naturel </w:t>
      </w:r>
      <w:r w:rsidRPr="00A8644A">
        <w:t>annuel du linéaire de haie recensé sur le territoire</w:t>
      </w:r>
      <w:r>
        <w:t xml:space="preserve">. </w:t>
      </w:r>
    </w:p>
    <w:p w14:paraId="3A1E7705" w14:textId="77777777" w:rsidR="00BA2D9B" w:rsidRDefault="00B7744E" w:rsidP="00BA2D9B">
      <w:pPr>
        <w:keepNext/>
        <w:jc w:val="center"/>
      </w:pPr>
      <w:r>
        <w:rPr>
          <w:noProof/>
        </w:rPr>
        <w:lastRenderedPageBreak/>
        <w:drawing>
          <wp:inline distT="0" distB="0" distL="0" distR="0" wp14:anchorId="6CFCBF86" wp14:editId="1002F774">
            <wp:extent cx="3909060" cy="2763317"/>
            <wp:effectExtent l="0" t="0" r="0" b="0"/>
            <wp:docPr id="7" name="Image 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carte&#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53683" cy="2794861"/>
                    </a:xfrm>
                    <a:prstGeom prst="rect">
                      <a:avLst/>
                    </a:prstGeom>
                  </pic:spPr>
                </pic:pic>
              </a:graphicData>
            </a:graphic>
          </wp:inline>
        </w:drawing>
      </w:r>
    </w:p>
    <w:p w14:paraId="7BD5A680" w14:textId="31D9A5F4" w:rsidR="00866860" w:rsidRDefault="00BA2D9B" w:rsidP="00BA2D9B">
      <w:pPr>
        <w:pStyle w:val="Lgende"/>
        <w:jc w:val="center"/>
      </w:pPr>
      <w:bookmarkStart w:id="145" w:name="_Toc129786583"/>
      <w:r>
        <w:t xml:space="preserve">Figure </w:t>
      </w:r>
      <w:r w:rsidR="00D56558">
        <w:fldChar w:fldCharType="begin"/>
      </w:r>
      <w:r w:rsidR="00D56558">
        <w:instrText xml:space="preserve"> SEQ Figure \* ARABIC </w:instrText>
      </w:r>
      <w:r w:rsidR="00D56558">
        <w:fldChar w:fldCharType="separate"/>
      </w:r>
      <w:r>
        <w:rPr>
          <w:noProof/>
        </w:rPr>
        <w:t>29</w:t>
      </w:r>
      <w:r w:rsidR="00D56558">
        <w:rPr>
          <w:noProof/>
        </w:rPr>
        <w:fldChar w:fldCharType="end"/>
      </w:r>
      <w:bookmarkStart w:id="146" w:name="_Toc126096845"/>
      <w:r w:rsidR="00B7744E">
        <w:t xml:space="preserve"> : Ressource fores</w:t>
      </w:r>
      <w:r w:rsidR="00866860">
        <w:t>tière et bocagère du territoire</w:t>
      </w:r>
      <w:bookmarkEnd w:id="145"/>
    </w:p>
    <w:p w14:paraId="5D9BAAC7" w14:textId="4E6165B3" w:rsidR="00B7744E" w:rsidRPr="00907BE7" w:rsidRDefault="00B7744E" w:rsidP="00866860">
      <w:pPr>
        <w:pStyle w:val="Lgende"/>
        <w:jc w:val="center"/>
        <w:rPr>
          <w:b w:val="0"/>
          <w:bCs w:val="0"/>
          <w:i/>
          <w:iCs/>
          <w:color w:val="auto"/>
        </w:rPr>
      </w:pPr>
      <w:r w:rsidRPr="00907BE7">
        <w:rPr>
          <w:b w:val="0"/>
          <w:bCs w:val="0"/>
          <w:i/>
          <w:iCs/>
          <w:color w:val="auto"/>
        </w:rPr>
        <w:t xml:space="preserve">Source : BD TOPO – Traitement </w:t>
      </w:r>
      <w:proofErr w:type="spellStart"/>
      <w:r w:rsidRPr="00907BE7">
        <w:rPr>
          <w:b w:val="0"/>
          <w:bCs w:val="0"/>
          <w:i/>
          <w:iCs/>
          <w:color w:val="auto"/>
        </w:rPr>
        <w:t>Akajoule</w:t>
      </w:r>
      <w:bookmarkEnd w:id="146"/>
      <w:proofErr w:type="spellEnd"/>
    </w:p>
    <w:p w14:paraId="107EA3E8" w14:textId="77777777" w:rsidR="00B7744E" w:rsidRPr="00CB2A57" w:rsidRDefault="00B7744E" w:rsidP="00B7744E">
      <w:r w:rsidRPr="00CB2A57">
        <w:t xml:space="preserve">Il est pris l’hypothèse que le </w:t>
      </w:r>
      <w:r w:rsidRPr="00CB2A57">
        <w:rPr>
          <w:b/>
          <w:bCs/>
        </w:rPr>
        <w:t>potentiel brut</w:t>
      </w:r>
      <w:r w:rsidRPr="00CB2A57">
        <w:t xml:space="preserve"> de production de bois énergie du territoire correspond au prélèvement de </w:t>
      </w:r>
      <w:r w:rsidRPr="00CB2A57">
        <w:rPr>
          <w:b/>
          <w:bCs/>
        </w:rPr>
        <w:t>100% de l’accroissement naturel</w:t>
      </w:r>
      <w:r w:rsidRPr="00CB2A57">
        <w:t xml:space="preserve"> des forêts du territoire pour être utilisé en tant que bois énergie, ce qui ne diminue pas la quantité de bois présente dans la forêt actuelle. </w:t>
      </w:r>
    </w:p>
    <w:p w14:paraId="6562B6D9" w14:textId="77777777" w:rsidR="00B7744E" w:rsidRPr="00D97581" w:rsidRDefault="00B7744E" w:rsidP="00B7744E">
      <w:pPr>
        <w:rPr>
          <w:highlight w:val="yellow"/>
        </w:rPr>
      </w:pPr>
    </w:p>
    <w:p w14:paraId="7DC7A962" w14:textId="294B5DC5" w:rsidR="00B7744E" w:rsidRDefault="00B7744E" w:rsidP="00B7744E">
      <w:r w:rsidRPr="0035351A">
        <w:rPr>
          <w:u w:val="single"/>
        </w:rPr>
        <w:t>Remarque :</w:t>
      </w:r>
      <w:r w:rsidRPr="00CB2A57">
        <w:t xml:space="preserve"> cette hypothèse donne un </w:t>
      </w:r>
      <w:r w:rsidRPr="00CB2A57">
        <w:rPr>
          <w:b/>
          <w:bCs/>
        </w:rPr>
        <w:t>potentiel</w:t>
      </w:r>
      <w:r w:rsidRPr="00CB2A57">
        <w:t xml:space="preserve"> </w:t>
      </w:r>
      <w:r w:rsidRPr="00CB2A57">
        <w:rPr>
          <w:b/>
          <w:bCs/>
        </w:rPr>
        <w:t>maximal</w:t>
      </w:r>
      <w:r w:rsidRPr="00CB2A57">
        <w:t xml:space="preserve"> de production de bois énergie. En effet, on suppose que 100% de l’accroissement est prélevé et que 100% du bois prélevé est dirigé vers la filière bois énergie, alors qu’une part de l’accroissement naturel n’est pas prélevé et qu’une part du bois prélevé est orientée vers les filières du bois</w:t>
      </w:r>
      <w:r w:rsidR="00866860">
        <w:t xml:space="preserve"> d’œuvre et du bois industrie. </w:t>
      </w:r>
    </w:p>
    <w:p w14:paraId="4F4FE4EE" w14:textId="349F94CE" w:rsidR="00B7744E" w:rsidRDefault="00B7744E" w:rsidP="00B7744E">
      <w:r w:rsidRPr="00CB2A57">
        <w:t xml:space="preserve">Les hypothèses d’accroissement de la forêt sont détaillées en annexe. </w:t>
      </w:r>
    </w:p>
    <w:p w14:paraId="691C67FE" w14:textId="2E46A455" w:rsidR="00A8644A" w:rsidRPr="00CB2A57" w:rsidRDefault="00A8644A" w:rsidP="00B7744E">
      <w:r>
        <w:t xml:space="preserve">Le potentiel calculé est un potentiel bois-énergie orienté plaquette (stère industrielle). </w:t>
      </w:r>
    </w:p>
    <w:p w14:paraId="470E7094" w14:textId="77777777" w:rsidR="00B7744E" w:rsidRPr="00866860" w:rsidRDefault="00B7744E" w:rsidP="00866860">
      <w:pPr>
        <w:rPr>
          <w:rStyle w:val="Rfrencelgre"/>
        </w:rPr>
      </w:pPr>
      <w:r w:rsidRPr="00866860">
        <w:rPr>
          <w:rStyle w:val="Rfrencelgre"/>
        </w:rPr>
        <w:t xml:space="preserve">Contraintes </w:t>
      </w:r>
    </w:p>
    <w:p w14:paraId="2AD9BEE8" w14:textId="0A189BDC" w:rsidR="00B7744E" w:rsidRPr="00866860" w:rsidRDefault="00B7744E" w:rsidP="00866860">
      <w:r w:rsidRPr="00C4371C">
        <w:t xml:space="preserve">Le territoire de la </w:t>
      </w:r>
      <w:r>
        <w:t xml:space="preserve">CC de la Haute Vallée de Chevreuse </w:t>
      </w:r>
      <w:r w:rsidRPr="00C4371C">
        <w:t xml:space="preserve">possède l’avantage d’être relativement plat, ce qui facilite l’accès aux ressources en bois. Aucune contrainte de pente empêchant l’accès pour la coupe n’est donc prise en compte. Cependant, un taux de perte de </w:t>
      </w:r>
      <w:r>
        <w:t>9</w:t>
      </w:r>
      <w:r w:rsidRPr="00C4371C">
        <w:t>% est considéré pour calculer le potentiel net, correspondant aux pertes d’exploitation (écorces, petites branches, sciures…).</w:t>
      </w:r>
      <w:r w:rsidR="00866860">
        <w:t xml:space="preserve"> Cette contrainte permet d’évaluer le potentiel net. </w:t>
      </w:r>
    </w:p>
    <w:p w14:paraId="611E8529" w14:textId="77777777" w:rsidR="00BA2D9B" w:rsidRDefault="00B7744E" w:rsidP="00BA2D9B">
      <w:pPr>
        <w:pStyle w:val="Style6"/>
        <w:keepNext/>
        <w:jc w:val="center"/>
      </w:pPr>
      <w:r>
        <w:rPr>
          <w:noProof/>
          <w:lang w:eastAsia="fr-FR"/>
        </w:rPr>
        <w:lastRenderedPageBreak/>
        <w:drawing>
          <wp:inline distT="0" distB="0" distL="0" distR="0" wp14:anchorId="075B9BFF" wp14:editId="15F664F6">
            <wp:extent cx="4737100" cy="3348657"/>
            <wp:effectExtent l="0" t="0" r="0" b="4445"/>
            <wp:docPr id="40" name="Image 4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carte&#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50137" cy="3357873"/>
                    </a:xfrm>
                    <a:prstGeom prst="rect">
                      <a:avLst/>
                    </a:prstGeom>
                  </pic:spPr>
                </pic:pic>
              </a:graphicData>
            </a:graphic>
          </wp:inline>
        </w:drawing>
      </w:r>
    </w:p>
    <w:p w14:paraId="613EEE0D" w14:textId="7FDEBE85" w:rsidR="00B7744E" w:rsidRDefault="00BA2D9B" w:rsidP="00BA2D9B">
      <w:pPr>
        <w:pStyle w:val="Lgende"/>
        <w:jc w:val="center"/>
      </w:pPr>
      <w:bookmarkStart w:id="147" w:name="_Toc129786584"/>
      <w:r>
        <w:t xml:space="preserve">Figure </w:t>
      </w:r>
      <w:r w:rsidR="00D56558">
        <w:fldChar w:fldCharType="begin"/>
      </w:r>
      <w:r w:rsidR="00D56558">
        <w:instrText xml:space="preserve"> SEQ Figure \* ARABIC </w:instrText>
      </w:r>
      <w:r w:rsidR="00D56558">
        <w:fldChar w:fldCharType="separate"/>
      </w:r>
      <w:r>
        <w:rPr>
          <w:noProof/>
        </w:rPr>
        <w:t>30</w:t>
      </w:r>
      <w:r w:rsidR="00D56558">
        <w:rPr>
          <w:noProof/>
        </w:rPr>
        <w:fldChar w:fldCharType="end"/>
      </w:r>
      <w:bookmarkStart w:id="148" w:name="_Toc126096846"/>
      <w:r>
        <w:t xml:space="preserve"> </w:t>
      </w:r>
      <w:r w:rsidR="00B7744E">
        <w:t>: Accessibilité des massifs forestiers du territoire</w:t>
      </w:r>
      <w:bookmarkEnd w:id="148"/>
      <w:bookmarkEnd w:id="147"/>
    </w:p>
    <w:p w14:paraId="1C302C1B" w14:textId="723F64D2" w:rsidR="00381BD6" w:rsidRPr="00381BD6" w:rsidRDefault="00381BD6" w:rsidP="00381BD6">
      <w:pPr>
        <w:pStyle w:val="Lgende"/>
        <w:jc w:val="center"/>
        <w:rPr>
          <w:b w:val="0"/>
          <w:bCs w:val="0"/>
          <w:i/>
          <w:iCs/>
          <w:color w:val="auto"/>
        </w:rPr>
      </w:pPr>
      <w:r w:rsidRPr="00907BE7">
        <w:rPr>
          <w:b w:val="0"/>
          <w:bCs w:val="0"/>
          <w:i/>
          <w:iCs/>
          <w:color w:val="auto"/>
        </w:rPr>
        <w:t xml:space="preserve">Source : BD TOPO – Traitement </w:t>
      </w:r>
      <w:proofErr w:type="spellStart"/>
      <w:r w:rsidRPr="00907BE7">
        <w:rPr>
          <w:b w:val="0"/>
          <w:bCs w:val="0"/>
          <w:i/>
          <w:iCs/>
          <w:color w:val="auto"/>
        </w:rPr>
        <w:t>Akajoule</w:t>
      </w:r>
      <w:proofErr w:type="spellEnd"/>
    </w:p>
    <w:p w14:paraId="463F49AE" w14:textId="77777777" w:rsidR="00B7744E" w:rsidRPr="00866860" w:rsidRDefault="00B7744E" w:rsidP="00866860">
      <w:pPr>
        <w:rPr>
          <w:rStyle w:val="Rfrencelgre"/>
        </w:rPr>
      </w:pPr>
      <w:r w:rsidRPr="00866860">
        <w:rPr>
          <w:rStyle w:val="Rfrencelgre"/>
        </w:rPr>
        <w:t>Résultats</w:t>
      </w:r>
    </w:p>
    <w:p w14:paraId="3DBDCDA0" w14:textId="77777777" w:rsidR="00381BD6" w:rsidRDefault="00B7744E" w:rsidP="00B7744E">
      <w:r w:rsidRPr="00124D05">
        <w:t xml:space="preserve">Le potentiel brut est estimé à une surface de </w:t>
      </w:r>
      <w:r w:rsidRPr="00124D05">
        <w:rPr>
          <w:b/>
          <w:bCs/>
        </w:rPr>
        <w:t>3 302 ha</w:t>
      </w:r>
      <w:r w:rsidRPr="00124D05">
        <w:t xml:space="preserve">, tandis que le potentiel net en biomasse est estimé à une surface de </w:t>
      </w:r>
      <w:r w:rsidRPr="00124D05">
        <w:rPr>
          <w:b/>
          <w:bCs/>
        </w:rPr>
        <w:t>3 005 ha</w:t>
      </w:r>
      <w:r w:rsidR="00866860">
        <w:t xml:space="preserve">. </w:t>
      </w:r>
    </w:p>
    <w:p w14:paraId="7D718250" w14:textId="050BCE85" w:rsidR="00B7744E" w:rsidRDefault="00B7744E" w:rsidP="00B7744E">
      <w:r w:rsidRPr="00124D05">
        <w:t>Il est pris en compte les autres usages possibles du bois (bois d'œuvre, bois d'industrie). On considère que 80% du gisement sera utilisé en bois-énergie</w:t>
      </w:r>
      <w:r w:rsidRPr="00124D05">
        <w:rPr>
          <w:rStyle w:val="Appelnotedebasdep"/>
        </w:rPr>
        <w:footnoteReference w:id="5"/>
      </w:r>
      <w:r w:rsidRPr="00124D05">
        <w:t xml:space="preserve"> ce qui correspond finalement au </w:t>
      </w:r>
      <w:r w:rsidRPr="00124D05">
        <w:rPr>
          <w:b/>
          <w:bCs/>
        </w:rPr>
        <w:t>potentiel net réellement disponible</w:t>
      </w:r>
      <w:r w:rsidRPr="00124D05">
        <w:t xml:space="preserve">. </w:t>
      </w:r>
      <w:r w:rsidR="00381BD6">
        <w:br/>
      </w:r>
      <w:r w:rsidRPr="00124D05">
        <w:t xml:space="preserve">La surface de forêt utilisable pour le bois énergie est alors de </w:t>
      </w:r>
      <w:r w:rsidRPr="00124D05">
        <w:rPr>
          <w:b/>
          <w:bCs/>
        </w:rPr>
        <w:t>2 404 ha</w:t>
      </w:r>
      <w:r w:rsidRPr="00124D05">
        <w:t xml:space="preserve"> pour un volume exploitable de 13 200 m</w:t>
      </w:r>
      <w:r w:rsidRPr="00124D05">
        <w:rPr>
          <w:vertAlign w:val="superscript"/>
        </w:rPr>
        <w:t>3</w:t>
      </w:r>
      <w:r w:rsidRPr="00124D05">
        <w:t>.</w:t>
      </w:r>
    </w:p>
    <w:p w14:paraId="06A12895" w14:textId="77777777" w:rsidR="00B7744E" w:rsidRPr="00F16BFD" w:rsidRDefault="00B7744E" w:rsidP="00866860">
      <w:pPr>
        <w:pStyle w:val="Titre4"/>
        <w:rPr>
          <w:rFonts w:eastAsiaTheme="minorHAnsi"/>
          <w:lang w:bidi="en-US"/>
        </w:rPr>
      </w:pPr>
      <w:r w:rsidRPr="00F16BFD">
        <w:rPr>
          <w:rFonts w:eastAsiaTheme="minorHAnsi"/>
          <w:lang w:bidi="en-US"/>
        </w:rPr>
        <w:t>Production de chaleur à partir de bois-énergie</w:t>
      </w:r>
    </w:p>
    <w:p w14:paraId="288BF1F5" w14:textId="77777777" w:rsidR="00866860" w:rsidRDefault="00866860" w:rsidP="00B7744E"/>
    <w:p w14:paraId="3B8DBBF3" w14:textId="4BE8E29D" w:rsidR="00B7744E" w:rsidRPr="00866860" w:rsidRDefault="00B7744E" w:rsidP="00B7744E">
      <w:r w:rsidRPr="00124D05">
        <w:t xml:space="preserve">En supposant un pouvoir calorifique du bois à 2,43 </w:t>
      </w:r>
      <w:proofErr w:type="spellStart"/>
      <w:r w:rsidRPr="00124D05">
        <w:t>MWh</w:t>
      </w:r>
      <w:r w:rsidRPr="00124D05">
        <w:rPr>
          <w:vertAlign w:val="subscript"/>
        </w:rPr>
        <w:t>PCI</w:t>
      </w:r>
      <w:proofErr w:type="spellEnd"/>
      <w:r w:rsidRPr="00124D05">
        <w:t>/m</w:t>
      </w:r>
      <w:r w:rsidRPr="00124D05">
        <w:rPr>
          <w:vertAlign w:val="superscript"/>
        </w:rPr>
        <w:t>3</w:t>
      </w:r>
      <w:r w:rsidRPr="00124D05">
        <w:t xml:space="preserve"> pour les feuillus et de 2,13 </w:t>
      </w:r>
      <w:proofErr w:type="spellStart"/>
      <w:r w:rsidRPr="00124D05">
        <w:t>MWh</w:t>
      </w:r>
      <w:r w:rsidRPr="00124D05">
        <w:rPr>
          <w:vertAlign w:val="subscript"/>
        </w:rPr>
        <w:t>PCI</w:t>
      </w:r>
      <w:proofErr w:type="spellEnd"/>
      <w:r w:rsidRPr="00124D05">
        <w:t>/m</w:t>
      </w:r>
      <w:r w:rsidRPr="00124D05">
        <w:rPr>
          <w:vertAlign w:val="superscript"/>
        </w:rPr>
        <w:t>3</w:t>
      </w:r>
      <w:r w:rsidRPr="00124D05">
        <w:t xml:space="preserve"> pour les résineux, le potentiel de production de chaleur net disponible à partir de la biomasse est donc de </w:t>
      </w:r>
      <w:r w:rsidRPr="00124D05">
        <w:rPr>
          <w:b/>
        </w:rPr>
        <w:t xml:space="preserve">33 110 MWh/an </w:t>
      </w:r>
      <w:r w:rsidRPr="00124D05">
        <w:t>sur le territoire d’étude.</w:t>
      </w:r>
    </w:p>
    <w:p w14:paraId="266C0A8D" w14:textId="70EC7336" w:rsidR="00866860" w:rsidRPr="00866860" w:rsidRDefault="00B7744E" w:rsidP="00EA1E3D">
      <w:pPr>
        <w:pStyle w:val="Lgende"/>
        <w:keepNext/>
        <w:jc w:val="center"/>
      </w:pPr>
      <w:bookmarkStart w:id="149" w:name="_Toc126093078"/>
      <w:r w:rsidRPr="00124D05">
        <w:t>Tableau</w:t>
      </w:r>
      <w:r>
        <w:t xml:space="preserve"> 20</w:t>
      </w:r>
      <w:r w:rsidRPr="00124D05">
        <w:t> : Récapitulatif du potentiel de production d</w:t>
      </w:r>
      <w:r w:rsidR="00866860">
        <w:t xml:space="preserve">e chaleur issue de la biomasse </w:t>
      </w:r>
      <w:r w:rsidRPr="00124D05">
        <w:t>sur le territoire d‘étude</w:t>
      </w:r>
      <w:bookmarkEnd w:id="149"/>
    </w:p>
    <w:tbl>
      <w:tblPr>
        <w:tblStyle w:val="AKAtab1"/>
        <w:tblW w:w="9104" w:type="dxa"/>
        <w:tblLook w:val="04A0" w:firstRow="1" w:lastRow="0" w:firstColumn="1" w:lastColumn="0" w:noHBand="0" w:noVBand="1"/>
      </w:tblPr>
      <w:tblGrid>
        <w:gridCol w:w="4531"/>
        <w:gridCol w:w="4573"/>
      </w:tblGrid>
      <w:tr w:rsidR="00B7744E" w:rsidRPr="00124D05" w14:paraId="3F4382D8" w14:textId="77777777" w:rsidTr="00866860">
        <w:trPr>
          <w:cnfStyle w:val="100000000000" w:firstRow="1" w:lastRow="0" w:firstColumn="0" w:lastColumn="0" w:oddVBand="0" w:evenVBand="0" w:oddHBand="0"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9104" w:type="dxa"/>
            <w:gridSpan w:val="2"/>
            <w:shd w:val="clear" w:color="auto" w:fill="EC694A" w:themeFill="accent2"/>
            <w:noWrap/>
            <w:hideMark/>
          </w:tcPr>
          <w:p w14:paraId="34D089CE" w14:textId="77777777" w:rsidR="00B7744E" w:rsidRPr="00124D05" w:rsidRDefault="00B7744E" w:rsidP="00CC02E9">
            <w:pPr>
              <w:jc w:val="left"/>
              <w:rPr>
                <w:rFonts w:eastAsia="Times New Roman" w:cs="Calibri"/>
                <w:b w:val="0"/>
                <w:bCs/>
                <w:color w:val="FFFFFF"/>
              </w:rPr>
            </w:pPr>
            <w:r w:rsidRPr="00124D05">
              <w:rPr>
                <w:rFonts w:eastAsia="Times New Roman" w:cs="Calibri"/>
                <w:b w:val="0"/>
                <w:bCs/>
                <w:color w:val="FFFFFF"/>
              </w:rPr>
              <w:t>Filière : Chaleur à partir de biomasse</w:t>
            </w:r>
          </w:p>
        </w:tc>
      </w:tr>
      <w:tr w:rsidR="00B7744E" w:rsidRPr="00124D05" w14:paraId="33A87D2A" w14:textId="77777777" w:rsidTr="0086686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9104" w:type="dxa"/>
            <w:gridSpan w:val="2"/>
            <w:shd w:val="clear" w:color="auto" w:fill="F3A492" w:themeFill="accent2" w:themeFillTint="99"/>
            <w:noWrap/>
            <w:hideMark/>
          </w:tcPr>
          <w:p w14:paraId="1BFF7E99" w14:textId="77777777" w:rsidR="00B7744E" w:rsidRPr="00124D05" w:rsidRDefault="00B7744E" w:rsidP="00CC02E9">
            <w:pPr>
              <w:jc w:val="center"/>
              <w:rPr>
                <w:rFonts w:eastAsia="Times New Roman" w:cs="Calibri"/>
                <w:b/>
                <w:bCs/>
                <w:color w:val="000000"/>
              </w:rPr>
            </w:pPr>
            <w:r w:rsidRPr="00124D05">
              <w:rPr>
                <w:rFonts w:eastAsia="Times New Roman" w:cs="Calibri"/>
                <w:b/>
                <w:bCs/>
                <w:color w:val="FFFFFF" w:themeColor="background1"/>
              </w:rPr>
              <w:t>Potentiel brut</w:t>
            </w:r>
          </w:p>
        </w:tc>
      </w:tr>
      <w:tr w:rsidR="00B7744E" w:rsidRPr="00124D05" w14:paraId="5B4862B5" w14:textId="77777777" w:rsidTr="00866860">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4531" w:type="dxa"/>
            <w:noWrap/>
            <w:hideMark/>
          </w:tcPr>
          <w:p w14:paraId="61D675F8" w14:textId="77777777" w:rsidR="00B7744E" w:rsidRPr="00124D05" w:rsidRDefault="00B7744E" w:rsidP="00CC02E9">
            <w:pPr>
              <w:jc w:val="center"/>
              <w:rPr>
                <w:rFonts w:eastAsia="Times New Roman" w:cs="Calibri"/>
                <w:color w:val="000000"/>
              </w:rPr>
            </w:pPr>
            <w:r w:rsidRPr="00124D05">
              <w:rPr>
                <w:rFonts w:eastAsia="Times New Roman" w:cs="Calibri"/>
                <w:color w:val="000000"/>
              </w:rPr>
              <w:t>Surface de forêt exploitée</w:t>
            </w:r>
          </w:p>
        </w:tc>
        <w:tc>
          <w:tcPr>
            <w:tcW w:w="4573" w:type="dxa"/>
            <w:shd w:val="clear" w:color="auto" w:fill="FBE0DA" w:themeFill="accent2" w:themeFillTint="33"/>
            <w:noWrap/>
            <w:hideMark/>
          </w:tcPr>
          <w:p w14:paraId="7B789065" w14:textId="77777777" w:rsidR="00B7744E" w:rsidRPr="00124D05" w:rsidRDefault="00B7744E" w:rsidP="00CC02E9">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124D05">
              <w:rPr>
                <w:rFonts w:eastAsia="Times New Roman" w:cs="Calibri"/>
                <w:color w:val="000000"/>
              </w:rPr>
              <w:t>Production annuelle</w:t>
            </w:r>
          </w:p>
        </w:tc>
      </w:tr>
      <w:tr w:rsidR="00B7744E" w:rsidRPr="00124D05" w14:paraId="4CFC202B" w14:textId="77777777" w:rsidTr="0086686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noWrap/>
          </w:tcPr>
          <w:p w14:paraId="02FFA8E0" w14:textId="77777777" w:rsidR="00B7744E" w:rsidRPr="00124D05" w:rsidRDefault="00B7744E" w:rsidP="00CC02E9">
            <w:pPr>
              <w:jc w:val="center"/>
              <w:rPr>
                <w:rFonts w:eastAsia="Times New Roman" w:cs="Calibri"/>
                <w:color w:val="000000"/>
              </w:rPr>
            </w:pPr>
            <w:r w:rsidRPr="00124D05">
              <w:rPr>
                <w:rFonts w:eastAsia="Times New Roman" w:cs="Calibri"/>
                <w:color w:val="000000"/>
              </w:rPr>
              <w:t>3 302 ha</w:t>
            </w:r>
          </w:p>
        </w:tc>
        <w:tc>
          <w:tcPr>
            <w:tcW w:w="4573" w:type="dxa"/>
            <w:noWrap/>
          </w:tcPr>
          <w:p w14:paraId="24FE5B2A" w14:textId="77777777" w:rsidR="00B7744E" w:rsidRPr="00124D05" w:rsidRDefault="00B7744E" w:rsidP="00CC02E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124D05">
              <w:rPr>
                <w:rFonts w:eastAsia="Times New Roman" w:cs="Calibri"/>
                <w:color w:val="000000"/>
              </w:rPr>
              <w:t xml:space="preserve">44 016 </w:t>
            </w:r>
            <w:proofErr w:type="spellStart"/>
            <w:r w:rsidRPr="00124D05">
              <w:rPr>
                <w:rFonts w:eastAsia="Times New Roman" w:cs="Calibri"/>
                <w:color w:val="000000"/>
              </w:rPr>
              <w:t>MWh</w:t>
            </w:r>
            <w:r w:rsidRPr="00124D05">
              <w:rPr>
                <w:rFonts w:eastAsia="Times New Roman" w:cs="Calibri"/>
                <w:color w:val="000000"/>
                <w:vertAlign w:val="subscript"/>
              </w:rPr>
              <w:t>th</w:t>
            </w:r>
            <w:proofErr w:type="spellEnd"/>
          </w:p>
        </w:tc>
      </w:tr>
      <w:tr w:rsidR="00B7744E" w:rsidRPr="00124D05" w14:paraId="443F5AE2" w14:textId="77777777" w:rsidTr="00866860">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9104" w:type="dxa"/>
            <w:gridSpan w:val="2"/>
            <w:shd w:val="clear" w:color="auto" w:fill="F3A492" w:themeFill="accent2" w:themeFillTint="99"/>
            <w:noWrap/>
            <w:hideMark/>
          </w:tcPr>
          <w:p w14:paraId="7F6AEE27" w14:textId="77777777" w:rsidR="00B7744E" w:rsidRPr="00124D05" w:rsidRDefault="00B7744E" w:rsidP="00CC02E9">
            <w:pPr>
              <w:jc w:val="center"/>
              <w:rPr>
                <w:rFonts w:eastAsia="Times New Roman" w:cs="Calibri"/>
                <w:color w:val="000000"/>
              </w:rPr>
            </w:pPr>
            <w:r w:rsidRPr="00124D05">
              <w:rPr>
                <w:rFonts w:eastAsia="Times New Roman" w:cs="Calibri"/>
                <w:b/>
                <w:bCs/>
                <w:color w:val="FFFFFF" w:themeColor="background1"/>
              </w:rPr>
              <w:t>Potentiel net</w:t>
            </w:r>
          </w:p>
        </w:tc>
      </w:tr>
      <w:tr w:rsidR="00B7744E" w:rsidRPr="00124D05" w14:paraId="3046211A" w14:textId="77777777" w:rsidTr="0086686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4531" w:type="dxa"/>
            <w:noWrap/>
            <w:hideMark/>
          </w:tcPr>
          <w:p w14:paraId="4D8E6EBC" w14:textId="77777777" w:rsidR="00B7744E" w:rsidRPr="00124D05" w:rsidRDefault="00B7744E" w:rsidP="00CC02E9">
            <w:pPr>
              <w:jc w:val="center"/>
              <w:rPr>
                <w:rFonts w:eastAsia="Times New Roman" w:cs="Calibri"/>
                <w:color w:val="000000"/>
              </w:rPr>
            </w:pPr>
            <w:r w:rsidRPr="00124D05">
              <w:rPr>
                <w:rFonts w:eastAsia="Times New Roman" w:cs="Calibri"/>
                <w:color w:val="000000"/>
              </w:rPr>
              <w:t>Surface de forêt exploitée</w:t>
            </w:r>
          </w:p>
        </w:tc>
        <w:tc>
          <w:tcPr>
            <w:tcW w:w="4573" w:type="dxa"/>
            <w:shd w:val="clear" w:color="auto" w:fill="FBE0DA" w:themeFill="accent2" w:themeFillTint="33"/>
            <w:noWrap/>
            <w:hideMark/>
          </w:tcPr>
          <w:p w14:paraId="6C3B0BF2" w14:textId="77777777" w:rsidR="00B7744E" w:rsidRPr="00124D05" w:rsidRDefault="00B7744E" w:rsidP="00CC02E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124D05">
              <w:rPr>
                <w:rFonts w:eastAsia="Times New Roman" w:cs="Calibri"/>
                <w:color w:val="000000"/>
              </w:rPr>
              <w:t>Production annuelle</w:t>
            </w:r>
          </w:p>
        </w:tc>
      </w:tr>
      <w:tr w:rsidR="00B7744E" w:rsidRPr="00124D05" w14:paraId="7AA62904" w14:textId="77777777" w:rsidTr="00866860">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noWrap/>
            <w:hideMark/>
          </w:tcPr>
          <w:p w14:paraId="0D70A25D" w14:textId="77777777" w:rsidR="00B7744E" w:rsidRPr="00124D05" w:rsidRDefault="00B7744E" w:rsidP="00CC02E9">
            <w:pPr>
              <w:jc w:val="center"/>
              <w:rPr>
                <w:rFonts w:eastAsia="Times New Roman" w:cs="Calibri"/>
                <w:color w:val="000000"/>
              </w:rPr>
            </w:pPr>
            <w:r w:rsidRPr="00124D05">
              <w:rPr>
                <w:rFonts w:eastAsia="Times New Roman" w:cs="Calibri"/>
                <w:color w:val="000000"/>
              </w:rPr>
              <w:t>3 005 ha</w:t>
            </w:r>
          </w:p>
        </w:tc>
        <w:tc>
          <w:tcPr>
            <w:tcW w:w="4573" w:type="dxa"/>
            <w:noWrap/>
            <w:hideMark/>
          </w:tcPr>
          <w:p w14:paraId="35117AF0" w14:textId="77777777" w:rsidR="00B7744E" w:rsidRPr="00124D05" w:rsidRDefault="00B7744E" w:rsidP="00CC02E9">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124D05">
              <w:rPr>
                <w:rFonts w:eastAsia="Times New Roman" w:cs="Calibri"/>
                <w:color w:val="000000"/>
              </w:rPr>
              <w:t xml:space="preserve">40 055 </w:t>
            </w:r>
            <w:proofErr w:type="spellStart"/>
            <w:r w:rsidRPr="00124D05">
              <w:rPr>
                <w:rFonts w:eastAsia="Times New Roman" w:cs="Calibri"/>
                <w:color w:val="000000"/>
              </w:rPr>
              <w:t>MWh</w:t>
            </w:r>
            <w:r w:rsidRPr="00124D05">
              <w:rPr>
                <w:rFonts w:eastAsia="Times New Roman" w:cs="Calibri"/>
                <w:color w:val="000000"/>
                <w:vertAlign w:val="subscript"/>
              </w:rPr>
              <w:t>th</w:t>
            </w:r>
            <w:proofErr w:type="spellEnd"/>
          </w:p>
        </w:tc>
      </w:tr>
      <w:tr w:rsidR="00B7744E" w:rsidRPr="00124D05" w14:paraId="055C4FC7" w14:textId="77777777" w:rsidTr="0086686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9104" w:type="dxa"/>
            <w:gridSpan w:val="2"/>
            <w:shd w:val="clear" w:color="auto" w:fill="F3A492" w:themeFill="accent2" w:themeFillTint="99"/>
            <w:noWrap/>
          </w:tcPr>
          <w:p w14:paraId="53808ADE" w14:textId="77777777" w:rsidR="00B7744E" w:rsidRPr="00124D05" w:rsidRDefault="00B7744E" w:rsidP="00CC02E9">
            <w:pPr>
              <w:jc w:val="center"/>
              <w:rPr>
                <w:rFonts w:eastAsia="Times New Roman" w:cs="Calibri"/>
                <w:b/>
                <w:bCs/>
                <w:color w:val="000000"/>
              </w:rPr>
            </w:pPr>
            <w:r w:rsidRPr="00124D05">
              <w:rPr>
                <w:rFonts w:eastAsia="Times New Roman" w:cs="Calibri"/>
                <w:b/>
                <w:bCs/>
                <w:color w:val="FFFFFF" w:themeColor="background1"/>
              </w:rPr>
              <w:lastRenderedPageBreak/>
              <w:t>Potentiel net disponible pour le bois énergie</w:t>
            </w:r>
          </w:p>
        </w:tc>
      </w:tr>
      <w:tr w:rsidR="00B7744E" w:rsidRPr="00124D05" w14:paraId="27330F68" w14:textId="77777777" w:rsidTr="00866860">
        <w:trPr>
          <w:cnfStyle w:val="000000010000" w:firstRow="0" w:lastRow="0" w:firstColumn="0" w:lastColumn="0" w:oddVBand="0" w:evenVBand="0" w:oddHBand="0" w:evenHBand="1"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4531" w:type="dxa"/>
            <w:noWrap/>
          </w:tcPr>
          <w:p w14:paraId="416D32B3" w14:textId="77777777" w:rsidR="00B7744E" w:rsidRPr="00124D05" w:rsidRDefault="00B7744E" w:rsidP="00CC02E9">
            <w:pPr>
              <w:jc w:val="center"/>
              <w:rPr>
                <w:rFonts w:eastAsia="Times New Roman" w:cs="Calibri"/>
                <w:color w:val="000000"/>
              </w:rPr>
            </w:pPr>
            <w:r w:rsidRPr="00124D05">
              <w:rPr>
                <w:rFonts w:eastAsia="Times New Roman" w:cs="Calibri"/>
                <w:color w:val="000000"/>
              </w:rPr>
              <w:t>Surface de forêt exploitée</w:t>
            </w:r>
          </w:p>
        </w:tc>
        <w:tc>
          <w:tcPr>
            <w:tcW w:w="4573" w:type="dxa"/>
            <w:shd w:val="clear" w:color="auto" w:fill="FBE0DA" w:themeFill="accent2" w:themeFillTint="33"/>
            <w:noWrap/>
          </w:tcPr>
          <w:p w14:paraId="153ED9B7" w14:textId="77777777" w:rsidR="00B7744E" w:rsidRPr="00124D05" w:rsidRDefault="00B7744E" w:rsidP="00CC02E9">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124D05">
              <w:rPr>
                <w:rFonts w:eastAsia="Times New Roman" w:cs="Calibri"/>
                <w:color w:val="000000"/>
              </w:rPr>
              <w:t>Production annuelle</w:t>
            </w:r>
          </w:p>
        </w:tc>
      </w:tr>
      <w:tr w:rsidR="00B7744E" w:rsidRPr="00D97581" w14:paraId="57B5041C" w14:textId="77777777" w:rsidTr="0086686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noWrap/>
          </w:tcPr>
          <w:p w14:paraId="6CE2DF05" w14:textId="77777777" w:rsidR="00B7744E" w:rsidRPr="00124D05" w:rsidRDefault="00B7744E" w:rsidP="00CC02E9">
            <w:pPr>
              <w:jc w:val="center"/>
              <w:rPr>
                <w:rFonts w:eastAsia="Times New Roman" w:cs="Calibri"/>
                <w:color w:val="000000"/>
              </w:rPr>
            </w:pPr>
            <w:r w:rsidRPr="00124D05">
              <w:rPr>
                <w:rFonts w:eastAsia="Times New Roman" w:cs="Calibri"/>
                <w:color w:val="000000"/>
              </w:rPr>
              <w:t>2 404 ha</w:t>
            </w:r>
          </w:p>
        </w:tc>
        <w:tc>
          <w:tcPr>
            <w:tcW w:w="4573" w:type="dxa"/>
            <w:noWrap/>
          </w:tcPr>
          <w:p w14:paraId="5692C5A4" w14:textId="77777777" w:rsidR="00B7744E" w:rsidRPr="008D0984" w:rsidRDefault="00B7744E" w:rsidP="00CC02E9">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124D05">
              <w:rPr>
                <w:rFonts w:eastAsia="Times New Roman" w:cs="Calibri"/>
                <w:color w:val="000000"/>
              </w:rPr>
              <w:t xml:space="preserve">33 110 </w:t>
            </w:r>
            <w:proofErr w:type="spellStart"/>
            <w:r w:rsidRPr="00124D05">
              <w:rPr>
                <w:rFonts w:eastAsia="Times New Roman" w:cs="Calibri"/>
                <w:color w:val="000000"/>
              </w:rPr>
              <w:t>MWh</w:t>
            </w:r>
            <w:r w:rsidRPr="00124D05">
              <w:rPr>
                <w:rFonts w:eastAsia="Times New Roman" w:cs="Calibri"/>
                <w:color w:val="000000"/>
                <w:vertAlign w:val="subscript"/>
              </w:rPr>
              <w:t>th</w:t>
            </w:r>
            <w:proofErr w:type="spellEnd"/>
          </w:p>
        </w:tc>
      </w:tr>
    </w:tbl>
    <w:p w14:paraId="7881BD93" w14:textId="77777777" w:rsidR="00B7744E" w:rsidRDefault="00B7744E" w:rsidP="00B7744E">
      <w:pPr>
        <w:jc w:val="left"/>
        <w:rPr>
          <w:highlight w:val="yellow"/>
        </w:rPr>
      </w:pPr>
    </w:p>
    <w:p w14:paraId="11BE6832" w14:textId="77777777" w:rsidR="00BA2D9B" w:rsidRDefault="007748F3" w:rsidP="00BA2D9B">
      <w:pPr>
        <w:keepNext/>
        <w:jc w:val="center"/>
      </w:pPr>
      <w:bookmarkStart w:id="150" w:name="_Hlk33614679"/>
      <w:r>
        <w:rPr>
          <w:noProof/>
        </w:rPr>
        <w:drawing>
          <wp:inline distT="0" distB="0" distL="0" distR="0" wp14:anchorId="7000094D" wp14:editId="51108174">
            <wp:extent cx="4579620" cy="2756535"/>
            <wp:effectExtent l="0" t="0" r="0" b="5715"/>
            <wp:docPr id="7169" name="Graphique 7169">
              <a:extLst xmlns:a="http://schemas.openxmlformats.org/drawingml/2006/main">
                <a:ext uri="{FF2B5EF4-FFF2-40B4-BE49-F238E27FC236}">
                  <a16:creationId xmlns:a16="http://schemas.microsoft.com/office/drawing/2014/main" id="{E96DD9BB-A2D9-D81F-4682-A1E70E223F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015011A" w14:textId="029A5BDF" w:rsidR="00B7744E" w:rsidRPr="00BA2D9B" w:rsidRDefault="00BA2D9B" w:rsidP="00BA2D9B">
      <w:pPr>
        <w:pStyle w:val="Lgende"/>
        <w:jc w:val="center"/>
        <w:rPr>
          <w:highlight w:val="yellow"/>
        </w:rPr>
      </w:pPr>
      <w:bookmarkStart w:id="151" w:name="_Toc129786585"/>
      <w:r>
        <w:t xml:space="preserve">Figure </w:t>
      </w:r>
      <w:r w:rsidR="00D56558">
        <w:fldChar w:fldCharType="begin"/>
      </w:r>
      <w:r w:rsidR="00D56558">
        <w:instrText xml:space="preserve"> SEQ Figure \* ARABIC </w:instrText>
      </w:r>
      <w:r w:rsidR="00D56558">
        <w:fldChar w:fldCharType="separate"/>
      </w:r>
      <w:r>
        <w:rPr>
          <w:noProof/>
        </w:rPr>
        <w:t>31</w:t>
      </w:r>
      <w:r w:rsidR="00D56558">
        <w:rPr>
          <w:noProof/>
        </w:rPr>
        <w:fldChar w:fldCharType="end"/>
      </w:r>
      <w:bookmarkStart w:id="152" w:name="_Toc126096847"/>
      <w:r>
        <w:t xml:space="preserve"> </w:t>
      </w:r>
      <w:r w:rsidR="00B7744E">
        <w:t xml:space="preserve">: </w:t>
      </w:r>
      <w:r w:rsidR="00B7744E" w:rsidRPr="00227A2E">
        <w:t>Potentiel bois-énergie</w:t>
      </w:r>
      <w:r w:rsidR="00B7744E">
        <w:t xml:space="preserve"> comparé à la product</w:t>
      </w:r>
      <w:r w:rsidR="00866860">
        <w:t xml:space="preserve">ion actuelle </w:t>
      </w:r>
      <w:r w:rsidR="00B7744E">
        <w:t>du territoire de la CC Haute Vallée de Chevreuse</w:t>
      </w:r>
      <w:bookmarkEnd w:id="152"/>
      <w:bookmarkEnd w:id="151"/>
    </w:p>
    <w:p w14:paraId="46F6DC6F" w14:textId="77777777" w:rsidR="00B7744E" w:rsidRDefault="00B7744E" w:rsidP="00B7744E"/>
    <w:p w14:paraId="162FBBE2" w14:textId="77777777" w:rsidR="00866860" w:rsidRDefault="00B7744E" w:rsidP="00B7744E">
      <w:r w:rsidRPr="00D942E9">
        <w:t xml:space="preserve">Le potentiel net disponible, estimé uniquement à partir des exploitations forestières présentes, est largement supérieur à la production actuelle du territoire (écart de plus de </w:t>
      </w:r>
      <w:r>
        <w:t>3</w:t>
      </w:r>
      <w:r w:rsidRPr="00D942E9">
        <w:t xml:space="preserve">0 </w:t>
      </w:r>
      <w:proofErr w:type="gramStart"/>
      <w:r w:rsidRPr="00D942E9">
        <w:t>GWh</w:t>
      </w:r>
      <w:proofErr w:type="gramEnd"/>
      <w:r w:rsidRPr="00D942E9">
        <w:t xml:space="preserve"> soit 9</w:t>
      </w:r>
      <w:r>
        <w:t>4</w:t>
      </w:r>
      <w:r w:rsidR="00866860">
        <w:t xml:space="preserve">%). </w:t>
      </w:r>
    </w:p>
    <w:p w14:paraId="71504659" w14:textId="159D5717" w:rsidR="00B7744E" w:rsidRDefault="00B7744E" w:rsidP="00B7744E">
      <w:r w:rsidRPr="00D942E9">
        <w:t>Cet écart peut s’expliquer par le fait que les données de consommation actuelles de bois sur le territoire sont des estimations statistiques, qui ne prennent pas en compte la provenance du bois (importations possibles d’autres territoires). De plus, le potentiel estimé prend en compte les zones recensées comme des forêts, alors que la consommation actuelle des particuliers peut provenir d’arbres isolés, de haies, …</w:t>
      </w:r>
    </w:p>
    <w:p w14:paraId="5022D2F7" w14:textId="5CDBCC92" w:rsidR="00866860" w:rsidRDefault="00866860" w:rsidP="00B7744E"/>
    <w:p w14:paraId="7743D60D" w14:textId="77777777" w:rsidR="00B12CF9" w:rsidRPr="00866860" w:rsidRDefault="00B12CF9" w:rsidP="00B7744E"/>
    <w:p w14:paraId="5325A257" w14:textId="0077A8D6" w:rsidR="00B7744E" w:rsidRPr="00B12CF9" w:rsidRDefault="00B7744E" w:rsidP="00B12CF9">
      <w:r w:rsidRPr="00D942E9">
        <w:t>La répartition par commune est la suivante :</w:t>
      </w:r>
      <w:r w:rsidRPr="00227A2E">
        <w:t xml:space="preserve"> </w:t>
      </w:r>
    </w:p>
    <w:p w14:paraId="71C02694" w14:textId="77777777" w:rsidR="00BA2D9B" w:rsidRDefault="00B7744E" w:rsidP="00BA2D9B">
      <w:pPr>
        <w:keepNext/>
        <w:jc w:val="center"/>
      </w:pPr>
      <w:r>
        <w:rPr>
          <w:noProof/>
        </w:rPr>
        <w:lastRenderedPageBreak/>
        <w:drawing>
          <wp:inline distT="0" distB="0" distL="0" distR="0" wp14:anchorId="23A27028" wp14:editId="7ECC1224">
            <wp:extent cx="5394960" cy="3002915"/>
            <wp:effectExtent l="0" t="0" r="0" b="6985"/>
            <wp:docPr id="7188" name="Graphique 7188">
              <a:extLst xmlns:a="http://schemas.openxmlformats.org/drawingml/2006/main">
                <a:ext uri="{FF2B5EF4-FFF2-40B4-BE49-F238E27FC236}">
                  <a16:creationId xmlns:a16="http://schemas.microsoft.com/office/drawing/2014/main" id="{CD0B7C1D-C6EB-FAF9-1DCB-C81F4A0E4E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D40B30D" w14:textId="474C396C" w:rsidR="00B7744E" w:rsidRPr="00BA2D9B" w:rsidRDefault="00BA2D9B" w:rsidP="00BA2D9B">
      <w:pPr>
        <w:pStyle w:val="Lgende"/>
        <w:jc w:val="center"/>
      </w:pPr>
      <w:bookmarkStart w:id="153" w:name="_Toc129786586"/>
      <w:r>
        <w:t xml:space="preserve">Figure </w:t>
      </w:r>
      <w:r w:rsidR="00D56558">
        <w:fldChar w:fldCharType="begin"/>
      </w:r>
      <w:r w:rsidR="00D56558">
        <w:instrText xml:space="preserve"> SEQ Figure \* ARABIC </w:instrText>
      </w:r>
      <w:r w:rsidR="00D56558">
        <w:fldChar w:fldCharType="separate"/>
      </w:r>
      <w:r>
        <w:rPr>
          <w:noProof/>
        </w:rPr>
        <w:t>32</w:t>
      </w:r>
      <w:r w:rsidR="00D56558">
        <w:rPr>
          <w:noProof/>
        </w:rPr>
        <w:fldChar w:fldCharType="end"/>
      </w:r>
      <w:bookmarkStart w:id="154" w:name="_Toc126096848"/>
      <w:r w:rsidR="00B7744E" w:rsidRPr="00227A2E">
        <w:t xml:space="preserve"> : Potentiel </w:t>
      </w:r>
      <w:r w:rsidR="00B7744E">
        <w:t xml:space="preserve">de production de </w:t>
      </w:r>
      <w:r w:rsidR="00B7744E" w:rsidRPr="00227A2E">
        <w:t>bois</w:t>
      </w:r>
      <w:r w:rsidR="00B7744E">
        <w:t xml:space="preserve">-énergie </w:t>
      </w:r>
      <w:r w:rsidR="00B7744E" w:rsidRPr="00227A2E">
        <w:t>réparti par commune</w:t>
      </w:r>
      <w:bookmarkEnd w:id="154"/>
      <w:bookmarkEnd w:id="153"/>
    </w:p>
    <w:p w14:paraId="3621EF70" w14:textId="77777777" w:rsidR="00B7744E" w:rsidRDefault="00B7744E" w:rsidP="00B7744E">
      <w:pPr>
        <w:rPr>
          <w:highlight w:val="yellow"/>
        </w:rPr>
      </w:pPr>
    </w:p>
    <w:p w14:paraId="4EEB5CF3" w14:textId="77777777" w:rsidR="00B7744E" w:rsidRPr="00F16BFD" w:rsidRDefault="00B7744E" w:rsidP="00C25646">
      <w:pPr>
        <w:pStyle w:val="Titre4"/>
        <w:rPr>
          <w:rFonts w:eastAsiaTheme="minorHAnsi"/>
          <w:lang w:bidi="en-US"/>
        </w:rPr>
      </w:pPr>
      <w:r w:rsidRPr="00F16BFD">
        <w:rPr>
          <w:rFonts w:eastAsiaTheme="minorHAnsi"/>
          <w:lang w:bidi="en-US"/>
        </w:rPr>
        <w:t>Production d’électricité à partir de bois-énergie</w:t>
      </w:r>
    </w:p>
    <w:p w14:paraId="3659B822" w14:textId="77777777" w:rsidR="00B7744E" w:rsidRDefault="00B7744E" w:rsidP="00B7744E">
      <w:pPr>
        <w:rPr>
          <w:highlight w:val="yellow"/>
        </w:rPr>
      </w:pPr>
    </w:p>
    <w:p w14:paraId="4D163CBB" w14:textId="0E4FA9D6" w:rsidR="00B7744E" w:rsidRDefault="00B7744E" w:rsidP="00B7744E">
      <w:r>
        <w:t>Avec un moteur de cogénération, il est possible de produire de l’électricité et de la chaleur à partir de biomasse. Actuellement, une telle exploitation de la ressource implique des</w:t>
      </w:r>
      <w:r w:rsidRPr="00B03645">
        <w:t xml:space="preserve"> </w:t>
      </w:r>
      <w:r>
        <w:t>installations de taille conséquente pour être intéressante financièrement, avec une puissance m</w:t>
      </w:r>
      <w:r w:rsidR="00866860">
        <w:t xml:space="preserve">inimum de 5- 10 MW électrique. </w:t>
      </w:r>
    </w:p>
    <w:p w14:paraId="3D632DAC" w14:textId="21333D07" w:rsidR="00B7744E" w:rsidRDefault="00B7744E" w:rsidP="00B7744E">
      <w:r>
        <w:t xml:space="preserve">En supposant que 100% du bois prélevé est utilisé pour produire de l’électricité et de la chaleur, avec la même valeur de pouvoir calorifique du bois, la puissance maximale atteinte </w:t>
      </w:r>
      <w:r w:rsidRPr="00866860">
        <w:t>est de 6 MW, ce</w:t>
      </w:r>
      <w:r>
        <w:t xml:space="preserve"> qui est faible pour ce type d’installation. </w:t>
      </w:r>
    </w:p>
    <w:p w14:paraId="53B84C36" w14:textId="77777777" w:rsidR="00B7744E" w:rsidRDefault="00B7744E" w:rsidP="00B7744E"/>
    <w:p w14:paraId="60509ADE" w14:textId="77777777" w:rsidR="00B7744E" w:rsidRPr="00F16BFD" w:rsidRDefault="00B7744E" w:rsidP="00C25646">
      <w:pPr>
        <w:pStyle w:val="Titre4"/>
        <w:rPr>
          <w:rFonts w:eastAsiaTheme="minorHAnsi"/>
          <w:lang w:bidi="en-US"/>
        </w:rPr>
      </w:pPr>
      <w:r w:rsidRPr="00F16BFD">
        <w:rPr>
          <w:rFonts w:eastAsiaTheme="minorHAnsi"/>
          <w:lang w:bidi="en-US"/>
        </w:rPr>
        <w:t>Contraintes et préconisations liées à la mobilisation du potentiel</w:t>
      </w:r>
    </w:p>
    <w:p w14:paraId="0F521C08" w14:textId="77777777" w:rsidR="00B7744E" w:rsidRDefault="00B7744E" w:rsidP="00B7744E">
      <w:pPr>
        <w:rPr>
          <w:highlight w:val="yellow"/>
        </w:rPr>
      </w:pPr>
    </w:p>
    <w:p w14:paraId="5C0A092A" w14:textId="766B8870" w:rsidR="00B7744E" w:rsidRDefault="00B7744E" w:rsidP="00B7744E">
      <w:pPr>
        <w:tabs>
          <w:tab w:val="num" w:pos="2160"/>
        </w:tabs>
      </w:pPr>
      <w:r>
        <w:t>Le bois-énergie qu’il s’agisse d’installations individuelles ou collectives est une te</w:t>
      </w:r>
      <w:r w:rsidRPr="00010A6E">
        <w:t>chnologie connue, maitrisée et efficace</w:t>
      </w:r>
      <w:r>
        <w:t xml:space="preserve">. L’installation de chaufferies bois est </w:t>
      </w:r>
      <w:r w:rsidRPr="00010A6E">
        <w:t>à étudier au cas par cas, car l’investissement est plus important que pour des énergies fossiles</w:t>
      </w:r>
      <w:r>
        <w:t xml:space="preserve">. Il est cependant </w:t>
      </w:r>
      <w:r w:rsidRPr="00010A6E">
        <w:t xml:space="preserve">compensé </w:t>
      </w:r>
      <w:r>
        <w:t>par la suite par d</w:t>
      </w:r>
      <w:r w:rsidRPr="00010A6E">
        <w:t>es coûts d’exploitation plus faibles</w:t>
      </w:r>
      <w:r>
        <w:t>.</w:t>
      </w:r>
      <w:r w:rsidRPr="00010A6E">
        <w:t xml:space="preserve"> </w:t>
      </w:r>
      <w:r w:rsidR="00C25646">
        <w:tab/>
      </w:r>
    </w:p>
    <w:p w14:paraId="080E7B2F" w14:textId="36BA2A3F" w:rsidR="00B7744E" w:rsidRPr="00010A6E" w:rsidRDefault="00B7744E" w:rsidP="00B7744E">
      <w:pPr>
        <w:tabs>
          <w:tab w:val="num" w:pos="2160"/>
        </w:tabs>
      </w:pPr>
      <w:r>
        <w:t xml:space="preserve">Sur le territoire, l’absence de filière de production locale (bois plaquette) nécessitera </w:t>
      </w:r>
      <w:r w:rsidRPr="00010A6E">
        <w:t xml:space="preserve">de s’approvisionner </w:t>
      </w:r>
      <w:r>
        <w:t xml:space="preserve">auprès de </w:t>
      </w:r>
      <w:r w:rsidRPr="00010A6E">
        <w:t>territoires voisins</w:t>
      </w:r>
      <w:r w:rsidR="00C25646">
        <w:t xml:space="preserve">. </w:t>
      </w:r>
      <w:r w:rsidR="00C25646">
        <w:tab/>
      </w:r>
    </w:p>
    <w:p w14:paraId="29D79E93" w14:textId="1EF395CB" w:rsidR="00B7744E" w:rsidRDefault="00B7744E" w:rsidP="00B7744E">
      <w:pPr>
        <w:tabs>
          <w:tab w:val="num" w:pos="2160"/>
        </w:tabs>
      </w:pPr>
      <w:r>
        <w:t xml:space="preserve">En termes d’acceptabilité sociale, les grosses installations peuvent générer une </w:t>
      </w:r>
      <w:r w:rsidRPr="00010A6E">
        <w:t xml:space="preserve">crainte du public </w:t>
      </w:r>
      <w:r>
        <w:t xml:space="preserve">concernant </w:t>
      </w:r>
      <w:r w:rsidRPr="00010A6E">
        <w:t>la qualité de l’air</w:t>
      </w:r>
      <w:r>
        <w:t xml:space="preserve"> et</w:t>
      </w:r>
      <w:r w:rsidRPr="00010A6E">
        <w:t xml:space="preserve"> l’augmentation de</w:t>
      </w:r>
      <w:r>
        <w:t xml:space="preserve"> la </w:t>
      </w:r>
      <w:r w:rsidRPr="00010A6E">
        <w:t xml:space="preserve">circulation </w:t>
      </w:r>
      <w:r>
        <w:t>liée aux</w:t>
      </w:r>
      <w:r w:rsidRPr="00010A6E">
        <w:t xml:space="preserve"> livraisons </w:t>
      </w:r>
      <w:r>
        <w:t xml:space="preserve">régulières </w:t>
      </w:r>
      <w:r w:rsidRPr="00010A6E">
        <w:t>de bois</w:t>
      </w:r>
      <w:r>
        <w:t xml:space="preserve">. </w:t>
      </w:r>
    </w:p>
    <w:p w14:paraId="4505EA35" w14:textId="77777777" w:rsidR="00C25646" w:rsidRDefault="00B7744E" w:rsidP="00B7744E">
      <w:pPr>
        <w:tabs>
          <w:tab w:val="num" w:pos="2160"/>
        </w:tabs>
      </w:pPr>
      <w:r>
        <w:t>Sur le territoire, il est préconisé d’inciter au remplacement des</w:t>
      </w:r>
      <w:r w:rsidRPr="00010A6E">
        <w:t xml:space="preserve"> appareils de combustion existants chez les particuliers </w:t>
      </w:r>
      <w:r>
        <w:t xml:space="preserve">(vieux inserts, foyers ouverts…) </w:t>
      </w:r>
      <w:r w:rsidRPr="00010A6E">
        <w:t>par des appareils plus performants</w:t>
      </w:r>
      <w:r>
        <w:t xml:space="preserve"> afin d’améliorer la qualité de l’air et d’optimiser le potentiel de mobilisation de la ressource</w:t>
      </w:r>
      <w:r w:rsidR="00C25646">
        <w:t>.</w:t>
      </w:r>
    </w:p>
    <w:p w14:paraId="59B020D1" w14:textId="4B2416FC" w:rsidR="00B7744E" w:rsidRPr="00C25646" w:rsidRDefault="00B7744E" w:rsidP="00C25646">
      <w:pPr>
        <w:tabs>
          <w:tab w:val="num" w:pos="2160"/>
        </w:tabs>
      </w:pPr>
      <w:r>
        <w:t>Selon les projets, les chaufferies bois pourront être une source d’a</w:t>
      </w:r>
      <w:r w:rsidRPr="00010A6E">
        <w:t>liment</w:t>
      </w:r>
      <w:r>
        <w:t xml:space="preserve">ation pour les </w:t>
      </w:r>
      <w:r w:rsidRPr="00010A6E">
        <w:t>réseaux de chaleur</w:t>
      </w:r>
      <w:r>
        <w:t xml:space="preserve"> envisagés sur le territoire et qui ne pourraient bénéficier de la récupération de chaleur fatale d’installations situées à proximité. </w:t>
      </w:r>
    </w:p>
    <w:p w14:paraId="54E7D7E7" w14:textId="77777777" w:rsidR="00B7744E" w:rsidRPr="009E2616" w:rsidRDefault="00B7744E" w:rsidP="009B49C8">
      <w:pPr>
        <w:pStyle w:val="Titre3"/>
        <w:ind w:left="2818"/>
      </w:pPr>
      <w:bookmarkStart w:id="155" w:name="_Toc129784758"/>
      <w:bookmarkEnd w:id="150"/>
      <w:r w:rsidRPr="009E2616">
        <w:lastRenderedPageBreak/>
        <w:t>Le biogaz issu de méthanisation</w:t>
      </w:r>
      <w:bookmarkEnd w:id="155"/>
    </w:p>
    <w:p w14:paraId="450E400D" w14:textId="6D9F652F" w:rsidR="00B7744E" w:rsidRPr="00BC1C75" w:rsidRDefault="00B7744E" w:rsidP="00B7744E">
      <w:r w:rsidRPr="00BC1C75">
        <w:t xml:space="preserve">Le biogaz peut être utilisé pour produire de l’électricité, de la chaleur et/ou du biométhane à partir d’une même ressource.  </w:t>
      </w:r>
    </w:p>
    <w:p w14:paraId="4EBC1747" w14:textId="77777777" w:rsidR="00B7744E" w:rsidRPr="009E2616" w:rsidRDefault="00B7744E" w:rsidP="00C25646">
      <w:pPr>
        <w:pStyle w:val="Titre4"/>
        <w:rPr>
          <w:rFonts w:eastAsiaTheme="minorHAnsi"/>
          <w:lang w:val="en-US" w:bidi="en-US"/>
        </w:rPr>
      </w:pPr>
      <w:bookmarkStart w:id="156" w:name="_Toc83706301"/>
      <w:proofErr w:type="spellStart"/>
      <w:r w:rsidRPr="009E2616">
        <w:rPr>
          <w:rFonts w:eastAsiaTheme="minorHAnsi"/>
          <w:lang w:val="en-US" w:bidi="en-US"/>
        </w:rPr>
        <w:t>Ressource</w:t>
      </w:r>
      <w:proofErr w:type="spellEnd"/>
      <w:r w:rsidRPr="009E2616">
        <w:rPr>
          <w:rFonts w:eastAsiaTheme="minorHAnsi"/>
          <w:lang w:val="en-US" w:bidi="en-US"/>
        </w:rPr>
        <w:t xml:space="preserve"> </w:t>
      </w:r>
      <w:proofErr w:type="spellStart"/>
      <w:r w:rsidRPr="009E2616">
        <w:rPr>
          <w:rFonts w:eastAsiaTheme="minorHAnsi"/>
          <w:lang w:val="en-US" w:bidi="en-US"/>
        </w:rPr>
        <w:t>en</w:t>
      </w:r>
      <w:proofErr w:type="spellEnd"/>
      <w:r w:rsidRPr="009E2616">
        <w:rPr>
          <w:rFonts w:eastAsiaTheme="minorHAnsi"/>
          <w:lang w:val="en-US" w:bidi="en-US"/>
        </w:rPr>
        <w:t xml:space="preserve"> </w:t>
      </w:r>
      <w:proofErr w:type="spellStart"/>
      <w:r w:rsidRPr="009E2616">
        <w:rPr>
          <w:rFonts w:eastAsiaTheme="minorHAnsi"/>
          <w:lang w:val="en-US" w:bidi="en-US"/>
        </w:rPr>
        <w:t>biogaz</w:t>
      </w:r>
      <w:bookmarkEnd w:id="156"/>
      <w:proofErr w:type="spellEnd"/>
    </w:p>
    <w:p w14:paraId="20D5CF7E" w14:textId="77777777" w:rsidR="00B7744E" w:rsidRPr="00C25646" w:rsidRDefault="00B7744E" w:rsidP="00C25646">
      <w:pPr>
        <w:rPr>
          <w:rStyle w:val="Rfrencelgre"/>
        </w:rPr>
      </w:pPr>
      <w:r w:rsidRPr="00C25646">
        <w:rPr>
          <w:rStyle w:val="Rfrencelgre"/>
        </w:rPr>
        <w:t xml:space="preserve">Ressource brute en biogaz </w:t>
      </w:r>
    </w:p>
    <w:p w14:paraId="4585E04D" w14:textId="77777777" w:rsidR="00B7744E" w:rsidRPr="00BC1C75" w:rsidRDefault="00B7744E" w:rsidP="00B7744E">
      <w:bookmarkStart w:id="157" w:name="_Hlk33600764"/>
      <w:r w:rsidRPr="00BC1C75">
        <w:t>Pour estimer le potentiel d</w:t>
      </w:r>
      <w:r w:rsidRPr="00BC1C75">
        <w:rPr>
          <w:rFonts w:ascii="Helvetica" w:eastAsia="Helvetica" w:hAnsi="Helvetica" w:cs="Helvetica"/>
        </w:rPr>
        <w:t>’</w:t>
      </w:r>
      <w:r w:rsidRPr="00BC1C75">
        <w:t xml:space="preserve">énergie issue du biogaz, il a été pris en compte les </w:t>
      </w:r>
      <w:proofErr w:type="spellStart"/>
      <w:r w:rsidRPr="00BC1C75">
        <w:t>bio-déchets</w:t>
      </w:r>
      <w:proofErr w:type="spellEnd"/>
      <w:r w:rsidRPr="00BC1C75">
        <w:t xml:space="preserve"> issus : </w:t>
      </w:r>
    </w:p>
    <w:p w14:paraId="3BFAC769" w14:textId="77777777" w:rsidR="00B7744E" w:rsidRDefault="00B7744E" w:rsidP="008A0F26">
      <w:pPr>
        <w:pStyle w:val="Paragraphedeliste"/>
        <w:numPr>
          <w:ilvl w:val="0"/>
          <w:numId w:val="3"/>
        </w:numPr>
        <w:spacing w:before="120" w:line="276" w:lineRule="auto"/>
      </w:pPr>
      <w:r>
        <w:t>Des résidus de cultures,</w:t>
      </w:r>
    </w:p>
    <w:p w14:paraId="1EC0CE07" w14:textId="77777777" w:rsidR="00B7744E" w:rsidRDefault="00B7744E" w:rsidP="008A0F26">
      <w:pPr>
        <w:pStyle w:val="Paragraphedeliste"/>
        <w:numPr>
          <w:ilvl w:val="0"/>
          <w:numId w:val="3"/>
        </w:numPr>
        <w:spacing w:before="120" w:line="276" w:lineRule="auto"/>
      </w:pPr>
      <w:r>
        <w:t>Des déjections d’élevage (dont les fumiers équins),</w:t>
      </w:r>
    </w:p>
    <w:p w14:paraId="65ACB5F0" w14:textId="77777777" w:rsidR="00B7744E" w:rsidRDefault="00B7744E" w:rsidP="008A0F26">
      <w:pPr>
        <w:pStyle w:val="Paragraphedeliste"/>
        <w:numPr>
          <w:ilvl w:val="0"/>
          <w:numId w:val="3"/>
        </w:numPr>
        <w:spacing w:before="120" w:line="276" w:lineRule="auto"/>
      </w:pPr>
      <w:r>
        <w:t>Des herbes,</w:t>
      </w:r>
    </w:p>
    <w:p w14:paraId="2DCC9866" w14:textId="77777777" w:rsidR="00B7744E" w:rsidRDefault="00B7744E" w:rsidP="008A0F26">
      <w:pPr>
        <w:pStyle w:val="Paragraphedeliste"/>
        <w:numPr>
          <w:ilvl w:val="0"/>
          <w:numId w:val="3"/>
        </w:numPr>
        <w:spacing w:before="120" w:line="276" w:lineRule="auto"/>
      </w:pPr>
      <w:r>
        <w:t>De cultures intermédiaires multi-services environnementaux (CIMSE),</w:t>
      </w:r>
    </w:p>
    <w:p w14:paraId="1CFF3D39" w14:textId="77777777" w:rsidR="00B7744E" w:rsidRDefault="00B7744E" w:rsidP="008A0F26">
      <w:pPr>
        <w:pStyle w:val="Paragraphedeliste"/>
        <w:numPr>
          <w:ilvl w:val="0"/>
          <w:numId w:val="3"/>
        </w:numPr>
        <w:spacing w:before="120" w:line="276" w:lineRule="auto"/>
      </w:pPr>
      <w:r>
        <w:t>Des résidus des industries agro-alimentaires (IAA),</w:t>
      </w:r>
    </w:p>
    <w:p w14:paraId="06DC8815" w14:textId="77777777" w:rsidR="00B7744E" w:rsidRDefault="00B7744E" w:rsidP="008A0F26">
      <w:pPr>
        <w:pStyle w:val="Paragraphedeliste"/>
        <w:numPr>
          <w:ilvl w:val="0"/>
          <w:numId w:val="3"/>
        </w:numPr>
        <w:spacing w:before="120" w:line="276" w:lineRule="auto"/>
      </w:pPr>
      <w:r>
        <w:t>Des biodéchets.</w:t>
      </w:r>
    </w:p>
    <w:p w14:paraId="555D2EF9" w14:textId="77777777" w:rsidR="00B7744E" w:rsidRPr="00BC1C75" w:rsidRDefault="00B7744E" w:rsidP="00B7744E">
      <w:pPr>
        <w:rPr>
          <w:rFonts w:cstheme="minorHAnsi"/>
        </w:rPr>
      </w:pPr>
      <w:r w:rsidRPr="00BC1C75">
        <w:rPr>
          <w:rFonts w:cstheme="minorHAnsi"/>
        </w:rPr>
        <w:t>Les hypothèses prises dans chaque cas sont détaillées en annexe.</w:t>
      </w:r>
    </w:p>
    <w:bookmarkEnd w:id="157"/>
    <w:p w14:paraId="72DFD9C6" w14:textId="77777777" w:rsidR="00B7744E" w:rsidRPr="00A72D29" w:rsidRDefault="00B7744E" w:rsidP="00B7744E">
      <w:pPr>
        <w:rPr>
          <w:rFonts w:cstheme="minorHAnsi"/>
        </w:rPr>
      </w:pPr>
      <w:r w:rsidRPr="00BC1C75">
        <w:rPr>
          <w:rFonts w:cstheme="minorHAnsi"/>
        </w:rPr>
        <w:t xml:space="preserve">Le potentiel brut prend en compte l’ensemble de la production des différents gisements ci-dessus. </w:t>
      </w:r>
      <w:r>
        <w:rPr>
          <w:rFonts w:cstheme="minorHAnsi"/>
        </w:rPr>
        <w:br/>
      </w:r>
    </w:p>
    <w:p w14:paraId="10B28089" w14:textId="77777777" w:rsidR="00B7744E" w:rsidRPr="00C25646" w:rsidRDefault="00B7744E" w:rsidP="00C25646">
      <w:pPr>
        <w:rPr>
          <w:rStyle w:val="Rfrencelgre"/>
        </w:rPr>
      </w:pPr>
      <w:r w:rsidRPr="00C25646">
        <w:rPr>
          <w:rStyle w:val="Rfrencelgre"/>
        </w:rPr>
        <w:t>Ressource nette</w:t>
      </w:r>
    </w:p>
    <w:p w14:paraId="4B7F9B50" w14:textId="16F9B157" w:rsidR="00B7744E" w:rsidRPr="00BC1C75" w:rsidRDefault="00B7744E" w:rsidP="00B7744E">
      <w:bookmarkStart w:id="158" w:name="_Hlk33600817"/>
      <w:r w:rsidRPr="00BC1C75">
        <w:t xml:space="preserve">Le potentiel net est évalué avec les gisements détaillés ci-dessus, en prenant en compte notamment l’accessibilité des </w:t>
      </w:r>
      <w:proofErr w:type="spellStart"/>
      <w:r w:rsidRPr="00BC1C75">
        <w:t>bio-déchets</w:t>
      </w:r>
      <w:proofErr w:type="spellEnd"/>
      <w:r w:rsidRPr="00BC1C75">
        <w:t>, les autres valorisations possibles, le tri.</w:t>
      </w:r>
    </w:p>
    <w:bookmarkEnd w:id="158"/>
    <w:p w14:paraId="4789FEB5" w14:textId="37BD4774" w:rsidR="00B7744E" w:rsidRPr="003F1279" w:rsidRDefault="00B7744E" w:rsidP="00B7744E">
      <w:r w:rsidRPr="003F1279">
        <w:t>Le potentiel de production de biogaz issu des déchets du territoire s’élève à 180 197 Nm</w:t>
      </w:r>
      <w:r w:rsidRPr="003F1279">
        <w:rPr>
          <w:vertAlign w:val="superscript"/>
        </w:rPr>
        <w:t>3</w:t>
      </w:r>
      <w:r w:rsidRPr="003F1279">
        <w:t xml:space="preserve"> soit </w:t>
      </w:r>
      <w:r w:rsidRPr="003F1279">
        <w:rPr>
          <w:b/>
        </w:rPr>
        <w:t xml:space="preserve">1 899 </w:t>
      </w:r>
      <w:proofErr w:type="spellStart"/>
      <w:r w:rsidRPr="003F1279">
        <w:rPr>
          <w:b/>
        </w:rPr>
        <w:t>MWh</w:t>
      </w:r>
      <w:r w:rsidRPr="003F1279">
        <w:rPr>
          <w:b/>
          <w:vertAlign w:val="subscript"/>
        </w:rPr>
        <w:t>PCI</w:t>
      </w:r>
      <w:proofErr w:type="spellEnd"/>
      <w:r w:rsidRPr="003F1279">
        <w:rPr>
          <w:b/>
        </w:rPr>
        <w:t xml:space="preserve"> par an</w:t>
      </w:r>
      <w:r w:rsidR="00C25646">
        <w:t>.</w:t>
      </w:r>
    </w:p>
    <w:p w14:paraId="13FD399A" w14:textId="16C571DA" w:rsidR="00B7744E" w:rsidRDefault="00B7744E" w:rsidP="00B7744E">
      <w:r w:rsidRPr="003F1279">
        <w:t xml:space="preserve">Les déchets issus des cheptels représentent </w:t>
      </w:r>
      <w:r w:rsidRPr="003F1279">
        <w:rPr>
          <w:b/>
        </w:rPr>
        <w:t xml:space="preserve">2 059 </w:t>
      </w:r>
      <w:proofErr w:type="spellStart"/>
      <w:r w:rsidRPr="003F1279">
        <w:rPr>
          <w:b/>
        </w:rPr>
        <w:t>MWh</w:t>
      </w:r>
      <w:r w:rsidRPr="003F1279">
        <w:rPr>
          <w:b/>
          <w:vertAlign w:val="subscript"/>
        </w:rPr>
        <w:t>PCI</w:t>
      </w:r>
      <w:proofErr w:type="spellEnd"/>
      <w:r w:rsidRPr="003F1279">
        <w:rPr>
          <w:b/>
        </w:rPr>
        <w:t xml:space="preserve"> par an </w:t>
      </w:r>
      <w:r w:rsidRPr="003F1279">
        <w:rPr>
          <w:bCs/>
        </w:rPr>
        <w:t>et les déchets de culture représentent</w:t>
      </w:r>
      <w:r w:rsidRPr="003F1279">
        <w:rPr>
          <w:b/>
        </w:rPr>
        <w:t xml:space="preserve"> 3</w:t>
      </w:r>
      <w:r w:rsidR="00F77624">
        <w:rPr>
          <w:b/>
        </w:rPr>
        <w:t> </w:t>
      </w:r>
      <w:r w:rsidRPr="003F1279">
        <w:rPr>
          <w:b/>
        </w:rPr>
        <w:t>479</w:t>
      </w:r>
      <w:r w:rsidR="00F77624">
        <w:rPr>
          <w:b/>
        </w:rPr>
        <w:t> </w:t>
      </w:r>
      <w:proofErr w:type="spellStart"/>
      <w:r w:rsidRPr="003F1279">
        <w:rPr>
          <w:b/>
        </w:rPr>
        <w:t>MWh</w:t>
      </w:r>
      <w:r w:rsidRPr="003F1279">
        <w:rPr>
          <w:b/>
          <w:vertAlign w:val="subscript"/>
        </w:rPr>
        <w:t>PCI</w:t>
      </w:r>
      <w:proofErr w:type="spellEnd"/>
      <w:r w:rsidRPr="003F1279">
        <w:rPr>
          <w:b/>
          <w:vertAlign w:val="subscript"/>
        </w:rPr>
        <w:t xml:space="preserve"> </w:t>
      </w:r>
      <w:r w:rsidRPr="003F1279">
        <w:rPr>
          <w:b/>
        </w:rPr>
        <w:t>par an</w:t>
      </w:r>
      <w:r w:rsidRPr="003F1279">
        <w:t>.</w:t>
      </w:r>
    </w:p>
    <w:p w14:paraId="7497863C" w14:textId="77777777" w:rsidR="00B7744E" w:rsidRPr="00BC1C75" w:rsidRDefault="00B7744E" w:rsidP="00B7744E"/>
    <w:p w14:paraId="201BF64A" w14:textId="77777777" w:rsidR="00BA2D9B" w:rsidRDefault="00B7744E" w:rsidP="00BA2D9B">
      <w:pPr>
        <w:keepNext/>
        <w:jc w:val="center"/>
      </w:pPr>
      <w:r>
        <w:rPr>
          <w:noProof/>
        </w:rPr>
        <w:drawing>
          <wp:inline distT="0" distB="0" distL="0" distR="0" wp14:anchorId="2F04D252" wp14:editId="67056B4E">
            <wp:extent cx="5760720" cy="3296285"/>
            <wp:effectExtent l="0" t="0" r="0" b="0"/>
            <wp:docPr id="41" name="Graphique 41">
              <a:extLst xmlns:a="http://schemas.openxmlformats.org/drawingml/2006/main">
                <a:ext uri="{FF2B5EF4-FFF2-40B4-BE49-F238E27FC236}">
                  <a16:creationId xmlns:a16="http://schemas.microsoft.com/office/drawing/2014/main" id="{AFE1E20D-1660-EA72-8011-9F30C578E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63D296D" w14:textId="1ABC0514" w:rsidR="00B7744E" w:rsidRPr="00BA2D9B" w:rsidRDefault="00BA2D9B" w:rsidP="00BA2D9B">
      <w:pPr>
        <w:pStyle w:val="Lgende"/>
        <w:jc w:val="center"/>
        <w:rPr>
          <w:highlight w:val="yellow"/>
        </w:rPr>
      </w:pPr>
      <w:bookmarkStart w:id="159" w:name="_Toc129786587"/>
      <w:r>
        <w:t xml:space="preserve">Figure </w:t>
      </w:r>
      <w:r w:rsidR="00D56558">
        <w:fldChar w:fldCharType="begin"/>
      </w:r>
      <w:r w:rsidR="00D56558">
        <w:instrText xml:space="preserve"> SEQ Figure \* ARABIC </w:instrText>
      </w:r>
      <w:r w:rsidR="00D56558">
        <w:fldChar w:fldCharType="separate"/>
      </w:r>
      <w:r>
        <w:rPr>
          <w:noProof/>
        </w:rPr>
        <w:t>33</w:t>
      </w:r>
      <w:r w:rsidR="00D56558">
        <w:rPr>
          <w:noProof/>
        </w:rPr>
        <w:fldChar w:fldCharType="end"/>
      </w:r>
      <w:bookmarkStart w:id="160" w:name="_Toc126096849"/>
      <w:r>
        <w:t xml:space="preserve"> </w:t>
      </w:r>
      <w:r w:rsidR="00B7744E" w:rsidRPr="00D81AE9">
        <w:t>: Répartition du potentiel net de production de biogaz par type de gisement</w:t>
      </w:r>
      <w:bookmarkEnd w:id="160"/>
      <w:bookmarkEnd w:id="159"/>
    </w:p>
    <w:p w14:paraId="436AF438" w14:textId="77777777" w:rsidR="00B7744E" w:rsidRDefault="00B7744E" w:rsidP="00B7744E"/>
    <w:p w14:paraId="7927D5F7" w14:textId="77777777" w:rsidR="00B7744E" w:rsidRPr="00410567" w:rsidRDefault="00B7744E" w:rsidP="00B7744E">
      <w:r w:rsidRPr="003624AA">
        <w:lastRenderedPageBreak/>
        <w:t>L’évolution estimée de la ressource mobilisable pour de la production de chaleur par méthanisation sur le territoire est la suivante :</w:t>
      </w:r>
    </w:p>
    <w:p w14:paraId="01923DAF" w14:textId="77777777" w:rsidR="00BA2D9B" w:rsidRDefault="00B7744E" w:rsidP="00BA2D9B">
      <w:pPr>
        <w:pStyle w:val="Style6"/>
        <w:keepNext/>
        <w:jc w:val="center"/>
      </w:pPr>
      <w:r>
        <w:rPr>
          <w:noProof/>
          <w:lang w:eastAsia="fr-FR"/>
        </w:rPr>
        <w:drawing>
          <wp:inline distT="0" distB="0" distL="0" distR="0" wp14:anchorId="55F26F2B" wp14:editId="4F5C115E">
            <wp:extent cx="4572000" cy="2743200"/>
            <wp:effectExtent l="0" t="0" r="0" b="0"/>
            <wp:docPr id="7183" name="Graphique 7183">
              <a:extLst xmlns:a="http://schemas.openxmlformats.org/drawingml/2006/main">
                <a:ext uri="{FF2B5EF4-FFF2-40B4-BE49-F238E27FC236}">
                  <a16:creationId xmlns:a16="http://schemas.microsoft.com/office/drawing/2014/main" id="{019B2BAC-0B16-D8D8-8EF2-4986BC9C3F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4ED64B4" w14:textId="3FAC50F9" w:rsidR="00B7744E" w:rsidRPr="00BA2D9B" w:rsidRDefault="00BA2D9B" w:rsidP="00BA2D9B">
      <w:pPr>
        <w:pStyle w:val="Lgende"/>
        <w:jc w:val="center"/>
      </w:pPr>
      <w:bookmarkStart w:id="161" w:name="_Toc129786588"/>
      <w:r>
        <w:t xml:space="preserve">Figure </w:t>
      </w:r>
      <w:r w:rsidR="00D56558">
        <w:fldChar w:fldCharType="begin"/>
      </w:r>
      <w:r w:rsidR="00D56558">
        <w:instrText xml:space="preserve"> SEQ Figure \* ARABIC </w:instrText>
      </w:r>
      <w:r w:rsidR="00D56558">
        <w:fldChar w:fldCharType="separate"/>
      </w:r>
      <w:r>
        <w:rPr>
          <w:noProof/>
        </w:rPr>
        <w:t>34</w:t>
      </w:r>
      <w:r w:rsidR="00D56558">
        <w:rPr>
          <w:noProof/>
        </w:rPr>
        <w:fldChar w:fldCharType="end"/>
      </w:r>
      <w:bookmarkStart w:id="162" w:name="_Toc126096850"/>
      <w:r>
        <w:t xml:space="preserve"> </w:t>
      </w:r>
      <w:r w:rsidR="00B7744E">
        <w:t>: Potentiel de production de biogaz par méthanisation</w:t>
      </w:r>
      <w:bookmarkEnd w:id="162"/>
      <w:bookmarkEnd w:id="161"/>
    </w:p>
    <w:p w14:paraId="1FE4DD1E" w14:textId="77777777" w:rsidR="007748F3" w:rsidRDefault="007748F3" w:rsidP="00C25646">
      <w:pPr>
        <w:rPr>
          <w:rStyle w:val="Rfrencelgre"/>
        </w:rPr>
      </w:pPr>
    </w:p>
    <w:p w14:paraId="123D1B18" w14:textId="2BBD8004" w:rsidR="00B7744E" w:rsidRPr="00C25646" w:rsidRDefault="00B7744E" w:rsidP="00C25646">
      <w:pPr>
        <w:rPr>
          <w:rStyle w:val="Rfrencelgre"/>
        </w:rPr>
      </w:pPr>
      <w:r w:rsidRPr="00C25646">
        <w:rPr>
          <w:rStyle w:val="Rfrencelgre"/>
        </w:rPr>
        <w:t>Bilan</w:t>
      </w:r>
    </w:p>
    <w:p w14:paraId="4D45290E" w14:textId="2FAD7FE7" w:rsidR="00B7744E" w:rsidRPr="00D81AE9" w:rsidRDefault="00B7744E" w:rsidP="00EA1E3D">
      <w:pPr>
        <w:pStyle w:val="Lgende"/>
        <w:keepNext/>
        <w:jc w:val="center"/>
      </w:pPr>
      <w:r w:rsidRPr="00124D05">
        <w:t>Tableau</w:t>
      </w:r>
      <w:r>
        <w:t xml:space="preserve"> 22</w:t>
      </w:r>
      <w:r w:rsidRPr="00124D05">
        <w:t xml:space="preserve"> : Récapitulatif du potentiel de production de </w:t>
      </w:r>
      <w:r>
        <w:t>biogaz</w:t>
      </w:r>
      <w:r w:rsidRPr="00124D05">
        <w:t xml:space="preserve"> issu de la </w:t>
      </w:r>
      <w:r>
        <w:t>méthanisation</w:t>
      </w:r>
      <w:r w:rsidRPr="00124D05">
        <w:t xml:space="preserve"> sur le territoire d‘étude</w:t>
      </w:r>
    </w:p>
    <w:tbl>
      <w:tblPr>
        <w:tblStyle w:val="AKAtab1"/>
        <w:tblW w:w="9062" w:type="dxa"/>
        <w:tblLook w:val="04A0" w:firstRow="1" w:lastRow="0" w:firstColumn="1" w:lastColumn="0" w:noHBand="0" w:noVBand="1"/>
      </w:tblPr>
      <w:tblGrid>
        <w:gridCol w:w="3539"/>
        <w:gridCol w:w="5523"/>
      </w:tblGrid>
      <w:tr w:rsidR="00B7744E" w:rsidRPr="00D81AE9" w14:paraId="7B5B56E7" w14:textId="77777777" w:rsidTr="007E207C">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7144E6E8" w14:textId="77777777" w:rsidR="00B7744E" w:rsidRPr="00D81AE9" w:rsidRDefault="00B7744E" w:rsidP="00CC02E9">
            <w:pPr>
              <w:ind w:right="4117"/>
              <w:jc w:val="left"/>
              <w:rPr>
                <w:rFonts w:eastAsia="Times New Roman" w:cs="Calibri"/>
                <w:b w:val="0"/>
                <w:bCs/>
                <w:color w:val="FFFFFF"/>
              </w:rPr>
            </w:pPr>
            <w:r w:rsidRPr="00D81AE9">
              <w:rPr>
                <w:rFonts w:eastAsia="Times New Roman" w:cs="Calibri"/>
                <w:b w:val="0"/>
                <w:bCs/>
                <w:color w:val="FFFFFF"/>
              </w:rPr>
              <w:t>Filière : Biogaz</w:t>
            </w:r>
          </w:p>
        </w:tc>
      </w:tr>
      <w:tr w:rsidR="007E207C" w:rsidRPr="00D81AE9" w14:paraId="02C0E7B7" w14:textId="77777777" w:rsidTr="00CC02E9">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7D320398" w14:textId="77777777" w:rsidR="007E207C" w:rsidRPr="00D81AE9" w:rsidRDefault="007E207C" w:rsidP="00CC02E9">
            <w:pPr>
              <w:jc w:val="center"/>
              <w:rPr>
                <w:rFonts w:eastAsia="Times New Roman" w:cs="Calibri"/>
                <w:b/>
                <w:bCs/>
                <w:color w:val="000000"/>
              </w:rPr>
            </w:pPr>
            <w:r>
              <w:rPr>
                <w:rFonts w:eastAsia="Times New Roman" w:cs="Calibri"/>
                <w:b/>
                <w:bCs/>
                <w:color w:val="000000"/>
              </w:rPr>
              <w:t>CC de la Haute Vallée de Chevreuse</w:t>
            </w:r>
          </w:p>
        </w:tc>
      </w:tr>
      <w:tr w:rsidR="00B7744E" w:rsidRPr="00D97581" w14:paraId="7BF74DBE" w14:textId="77777777" w:rsidTr="007E207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3D8616F2" w14:textId="77777777" w:rsidR="00B7744E" w:rsidRPr="00D81AE9" w:rsidRDefault="00B7744E" w:rsidP="00CC02E9">
            <w:pPr>
              <w:jc w:val="center"/>
              <w:rPr>
                <w:rFonts w:eastAsia="Times New Roman" w:cs="Calibri"/>
                <w:b/>
                <w:bCs/>
                <w:color w:val="000000"/>
              </w:rPr>
            </w:pPr>
            <w:r w:rsidRPr="00D81AE9">
              <w:rPr>
                <w:rFonts w:eastAsia="Times New Roman" w:cs="Calibri"/>
                <w:b/>
                <w:bCs/>
                <w:color w:val="000000"/>
              </w:rPr>
              <w:t>Potentiel net</w:t>
            </w:r>
          </w:p>
        </w:tc>
        <w:tc>
          <w:tcPr>
            <w:tcW w:w="5523" w:type="dxa"/>
            <w:noWrap/>
          </w:tcPr>
          <w:p w14:paraId="5C2B15FC" w14:textId="77777777" w:rsidR="00B7744E" w:rsidRPr="00D81AE9" w:rsidRDefault="00B7744E" w:rsidP="00CC02E9">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eastAsia="Times New Roman" w:cs="Calibri"/>
                <w:color w:val="000000"/>
              </w:rPr>
              <w:t>17 687</w:t>
            </w:r>
            <w:r w:rsidRPr="00D81AE9">
              <w:rPr>
                <w:rFonts w:eastAsia="Times New Roman" w:cs="Calibri"/>
                <w:color w:val="000000"/>
              </w:rPr>
              <w:t xml:space="preserve"> MWh</w:t>
            </w:r>
          </w:p>
        </w:tc>
      </w:tr>
    </w:tbl>
    <w:p w14:paraId="2628C922" w14:textId="77777777" w:rsidR="007E207C" w:rsidRDefault="007E207C" w:rsidP="00B7744E">
      <w:pPr>
        <w:keepNext/>
        <w:spacing w:after="160" w:line="259" w:lineRule="auto"/>
      </w:pPr>
    </w:p>
    <w:p w14:paraId="7D436B43" w14:textId="77777777" w:rsidR="00B7744E" w:rsidRDefault="00B7744E" w:rsidP="00B7744E">
      <w:pPr>
        <w:keepNext/>
        <w:spacing w:after="160" w:line="259" w:lineRule="auto"/>
      </w:pPr>
      <w:r w:rsidRPr="00A41E62">
        <w:t xml:space="preserve">Le potentiel estimé pour la production de biogaz pourrait évoluer à la baisse si certains gisements pris en compte dans ce potentiel (déchets verts, déchets alimentaires, boues d’épuration séchées) étaient réorientés vers une plateforme de compostage qui pourrait voir le jour sur le territoire de la </w:t>
      </w:r>
      <w:r>
        <w:t>CC de la Haute Vallée de Chevreuse</w:t>
      </w:r>
      <w:r w:rsidRPr="00A41E62">
        <w:t>. La baisse estimé</w:t>
      </w:r>
      <w:r>
        <w:t>e</w:t>
      </w:r>
      <w:r w:rsidRPr="00A41E62">
        <w:t xml:space="preserve"> d</w:t>
      </w:r>
      <w:r>
        <w:t>u</w:t>
      </w:r>
      <w:r w:rsidRPr="00A41E62">
        <w:t xml:space="preserve"> gisement </w:t>
      </w:r>
      <w:r>
        <w:t xml:space="preserve">total </w:t>
      </w:r>
      <w:r w:rsidRPr="00A41E62">
        <w:t xml:space="preserve">serait d’environ 10%. </w:t>
      </w:r>
    </w:p>
    <w:p w14:paraId="1E76E4F9" w14:textId="77777777" w:rsidR="00B7744E" w:rsidRPr="00A41E62" w:rsidRDefault="00B7744E" w:rsidP="00B7744E">
      <w:pPr>
        <w:keepNext/>
        <w:spacing w:after="160" w:line="259" w:lineRule="auto"/>
      </w:pPr>
    </w:p>
    <w:p w14:paraId="523AF335" w14:textId="2E10943D" w:rsidR="00B7744E" w:rsidRPr="009E2616" w:rsidRDefault="00B7744E" w:rsidP="00C25646">
      <w:pPr>
        <w:pStyle w:val="Titre4"/>
        <w:rPr>
          <w:rFonts w:eastAsiaTheme="minorHAnsi"/>
          <w:lang w:val="en-US" w:bidi="en-US"/>
        </w:rPr>
      </w:pPr>
      <w:bookmarkStart w:id="163" w:name="_Toc83706302"/>
      <w:proofErr w:type="spellStart"/>
      <w:r w:rsidRPr="009E2616">
        <w:rPr>
          <w:rFonts w:eastAsiaTheme="minorHAnsi"/>
          <w:lang w:val="en-US" w:bidi="en-US"/>
        </w:rPr>
        <w:t>Valorisation</w:t>
      </w:r>
      <w:proofErr w:type="spellEnd"/>
      <w:r w:rsidRPr="009E2616">
        <w:rPr>
          <w:rFonts w:eastAsiaTheme="minorHAnsi"/>
          <w:lang w:val="en-US" w:bidi="en-US"/>
        </w:rPr>
        <w:t xml:space="preserve"> du </w:t>
      </w:r>
      <w:proofErr w:type="spellStart"/>
      <w:r w:rsidRPr="009E2616">
        <w:rPr>
          <w:rFonts w:eastAsiaTheme="minorHAnsi"/>
          <w:lang w:val="en-US" w:bidi="en-US"/>
        </w:rPr>
        <w:t>biogaz</w:t>
      </w:r>
      <w:bookmarkEnd w:id="163"/>
      <w:proofErr w:type="spellEnd"/>
    </w:p>
    <w:p w14:paraId="3A910E6C" w14:textId="77777777" w:rsidR="00B7744E" w:rsidRPr="00C25646" w:rsidRDefault="00B7744E" w:rsidP="00C25646">
      <w:pPr>
        <w:rPr>
          <w:rStyle w:val="Rfrencelgre"/>
        </w:rPr>
      </w:pPr>
      <w:r w:rsidRPr="00C25646">
        <w:rPr>
          <w:rStyle w:val="Rfrencelgre"/>
        </w:rPr>
        <w:t xml:space="preserve">Production de chaleur </w:t>
      </w:r>
    </w:p>
    <w:p w14:paraId="69E31ABA" w14:textId="50AB380C" w:rsidR="00B7744E" w:rsidRDefault="00B7744E" w:rsidP="00B7744E">
      <w:r w:rsidRPr="00CF05A1">
        <w:t xml:space="preserve">En ne produisant que de la chaleur avec des unités de méthanisation par combustion directe et considérant un rendement de 100% (chaudière à condensation), le potentiel net de production de chaleur issu des </w:t>
      </w:r>
      <w:proofErr w:type="spellStart"/>
      <w:r w:rsidRPr="00CF05A1">
        <w:t>bio-déchets</w:t>
      </w:r>
      <w:proofErr w:type="spellEnd"/>
      <w:r w:rsidRPr="00CF05A1">
        <w:t xml:space="preserve"> est de </w:t>
      </w:r>
      <w:r w:rsidRPr="00CF05A1">
        <w:rPr>
          <w:b/>
        </w:rPr>
        <w:t xml:space="preserve">17 687 </w:t>
      </w:r>
      <w:proofErr w:type="spellStart"/>
      <w:r w:rsidRPr="00CF05A1">
        <w:rPr>
          <w:b/>
        </w:rPr>
        <w:t>MWh</w:t>
      </w:r>
      <w:r w:rsidRPr="00CF05A1">
        <w:rPr>
          <w:b/>
          <w:vertAlign w:val="subscript"/>
        </w:rPr>
        <w:t>th</w:t>
      </w:r>
      <w:proofErr w:type="spellEnd"/>
      <w:r w:rsidRPr="00CF05A1">
        <w:t xml:space="preserve"> par an.</w:t>
      </w:r>
    </w:p>
    <w:p w14:paraId="53920B29" w14:textId="77777777" w:rsidR="00BA2D9B" w:rsidRPr="00CF05A1" w:rsidRDefault="00BA2D9B" w:rsidP="00B7744E"/>
    <w:p w14:paraId="48853513" w14:textId="77777777" w:rsidR="00B7744E" w:rsidRPr="00C25646" w:rsidRDefault="00B7744E" w:rsidP="00C25646">
      <w:pPr>
        <w:rPr>
          <w:rStyle w:val="Rfrencelgre"/>
        </w:rPr>
      </w:pPr>
      <w:r w:rsidRPr="00C25646">
        <w:rPr>
          <w:rStyle w:val="Rfrencelgre"/>
        </w:rPr>
        <w:t xml:space="preserve">Production d’électricité </w:t>
      </w:r>
    </w:p>
    <w:p w14:paraId="3951FC22" w14:textId="24C305D4" w:rsidR="00B7744E" w:rsidRDefault="00B7744E" w:rsidP="00B7744E">
      <w:r w:rsidRPr="00CF05A1">
        <w:t>Avec un moteur de cogénération, il est possible de produire de l</w:t>
      </w:r>
      <w:r w:rsidRPr="00CF05A1">
        <w:rPr>
          <w:rFonts w:ascii="Helvetica" w:eastAsia="Helvetica" w:hAnsi="Helvetica" w:cs="Helvetica"/>
        </w:rPr>
        <w:t>’</w:t>
      </w:r>
      <w:r w:rsidRPr="00CF05A1">
        <w:t>électricité et de la chaleur à partir du biogaz. Les rendements sont en moyenne de 40% pour l</w:t>
      </w:r>
      <w:r w:rsidRPr="00CF05A1">
        <w:rPr>
          <w:rFonts w:ascii="Helvetica" w:eastAsia="Helvetica" w:hAnsi="Helvetica" w:cs="Helvetica"/>
        </w:rPr>
        <w:t>’</w:t>
      </w:r>
      <w:r w:rsidRPr="00CF05A1">
        <w:t xml:space="preserve">électricité et 40% pour la chaleur. </w:t>
      </w:r>
      <w:r>
        <w:br/>
      </w:r>
      <w:r w:rsidRPr="00CF05A1">
        <w:t xml:space="preserve">Si 100% de la ressource nette en biogaz est dirigée vers des moteurs de cogénération, la production annuelle d’électricité sera de </w:t>
      </w:r>
      <w:r>
        <w:rPr>
          <w:b/>
        </w:rPr>
        <w:t>7 075</w:t>
      </w:r>
      <w:r w:rsidRPr="00CF05A1">
        <w:rPr>
          <w:b/>
        </w:rPr>
        <w:t xml:space="preserve"> </w:t>
      </w:r>
      <w:proofErr w:type="spellStart"/>
      <w:r w:rsidRPr="00CF05A1">
        <w:rPr>
          <w:b/>
        </w:rPr>
        <w:t>MWh</w:t>
      </w:r>
      <w:r w:rsidRPr="00CF05A1">
        <w:rPr>
          <w:b/>
          <w:vertAlign w:val="subscript"/>
        </w:rPr>
        <w:t>élec</w:t>
      </w:r>
      <w:proofErr w:type="spellEnd"/>
      <w:r w:rsidRPr="00CF05A1">
        <w:t xml:space="preserve"> et la production de chaleur de </w:t>
      </w:r>
      <w:r>
        <w:rPr>
          <w:b/>
        </w:rPr>
        <w:t>7 075</w:t>
      </w:r>
      <w:r w:rsidRPr="00CF05A1">
        <w:rPr>
          <w:b/>
        </w:rPr>
        <w:t> </w:t>
      </w:r>
      <w:proofErr w:type="spellStart"/>
      <w:r w:rsidRPr="00CF05A1">
        <w:rPr>
          <w:b/>
        </w:rPr>
        <w:t>MWh</w:t>
      </w:r>
      <w:r w:rsidRPr="00CF05A1">
        <w:rPr>
          <w:b/>
          <w:vertAlign w:val="subscript"/>
        </w:rPr>
        <w:t>th</w:t>
      </w:r>
      <w:proofErr w:type="spellEnd"/>
      <w:r w:rsidRPr="00CF05A1">
        <w:t>.</w:t>
      </w:r>
    </w:p>
    <w:p w14:paraId="68C35900" w14:textId="77777777" w:rsidR="00BA2D9B" w:rsidRPr="00CF05A1" w:rsidRDefault="00BA2D9B" w:rsidP="00B7744E"/>
    <w:p w14:paraId="19428337" w14:textId="77777777" w:rsidR="00B7744E" w:rsidRPr="00C25646" w:rsidRDefault="00B7744E" w:rsidP="00C25646">
      <w:pPr>
        <w:rPr>
          <w:rStyle w:val="Rfrencelgre"/>
        </w:rPr>
      </w:pPr>
      <w:r w:rsidRPr="00C25646">
        <w:rPr>
          <w:rStyle w:val="Rfrencelgre"/>
        </w:rPr>
        <w:lastRenderedPageBreak/>
        <w:t xml:space="preserve">Production de carburant </w:t>
      </w:r>
    </w:p>
    <w:p w14:paraId="27B086CF" w14:textId="2D8EA3A3" w:rsidR="00B7744E" w:rsidRDefault="00B7744E" w:rsidP="00B7744E">
      <w:r w:rsidRPr="00552B9F">
        <w:t xml:space="preserve">En utilisant 100% de la ressource nette de biogaz pour produire du </w:t>
      </w:r>
      <w:proofErr w:type="spellStart"/>
      <w:r w:rsidRPr="00552B9F">
        <w:t>bio-méthane</w:t>
      </w:r>
      <w:proofErr w:type="spellEnd"/>
      <w:r w:rsidRPr="00552B9F">
        <w:t xml:space="preserve">, avec un rendement moyen </w:t>
      </w:r>
      <w:r w:rsidR="00B12CF9">
        <w:br/>
      </w:r>
      <w:r w:rsidRPr="00552B9F">
        <w:t xml:space="preserve">de 99%, le potentiel de production de </w:t>
      </w:r>
      <w:proofErr w:type="spellStart"/>
      <w:r w:rsidRPr="00552B9F">
        <w:t>bio-méthane</w:t>
      </w:r>
      <w:proofErr w:type="spellEnd"/>
      <w:r w:rsidRPr="00552B9F">
        <w:t xml:space="preserve"> sur le territoire d’étude est de </w:t>
      </w:r>
      <w:r w:rsidRPr="00552B9F">
        <w:rPr>
          <w:b/>
        </w:rPr>
        <w:t xml:space="preserve">17 510 </w:t>
      </w:r>
      <w:proofErr w:type="spellStart"/>
      <w:r w:rsidRPr="00552B9F">
        <w:rPr>
          <w:b/>
        </w:rPr>
        <w:t>MWh</w:t>
      </w:r>
      <w:r w:rsidRPr="00552B9F">
        <w:rPr>
          <w:b/>
          <w:vertAlign w:val="subscript"/>
        </w:rPr>
        <w:t>PCS</w:t>
      </w:r>
      <w:proofErr w:type="spellEnd"/>
      <w:r w:rsidRPr="00552B9F">
        <w:t>.</w:t>
      </w:r>
    </w:p>
    <w:p w14:paraId="3A308506" w14:textId="77777777" w:rsidR="00B7744E" w:rsidRDefault="00B7744E" w:rsidP="00B7744E"/>
    <w:p w14:paraId="726BF824" w14:textId="77777777" w:rsidR="00B7744E" w:rsidRPr="00F16BFD" w:rsidRDefault="00B7744E" w:rsidP="00C25646">
      <w:pPr>
        <w:pStyle w:val="Titre4"/>
        <w:rPr>
          <w:rFonts w:eastAsiaTheme="minorHAnsi"/>
          <w:lang w:bidi="en-US"/>
        </w:rPr>
      </w:pPr>
      <w:r w:rsidRPr="00F16BFD">
        <w:rPr>
          <w:rFonts w:eastAsiaTheme="minorHAnsi"/>
          <w:lang w:bidi="en-US"/>
        </w:rPr>
        <w:t>Contraintes et préconisations liées à la mobilisation du potentiel</w:t>
      </w:r>
    </w:p>
    <w:p w14:paraId="331B696D" w14:textId="77777777" w:rsidR="00B7744E" w:rsidRDefault="00B7744E" w:rsidP="00B7744E"/>
    <w:p w14:paraId="58BA5D43" w14:textId="39D4DBE9" w:rsidR="00C25646" w:rsidRDefault="00B7744E" w:rsidP="00B7744E">
      <w:r>
        <w:t>Un projet d’</w:t>
      </w:r>
      <w:r w:rsidR="00F77624">
        <w:t>installation</w:t>
      </w:r>
      <w:r>
        <w:t xml:space="preserve"> de méthanisation est complexe</w:t>
      </w:r>
      <w:r w:rsidR="00F77624">
        <w:t>,</w:t>
      </w:r>
      <w:r>
        <w:t xml:space="preserve"> tant sur le plan du montage de projet et de la difficulté de trouver des porteurs de projet</w:t>
      </w:r>
      <w:r w:rsidR="00F77624">
        <w:t xml:space="preserve"> et</w:t>
      </w:r>
      <w:r>
        <w:t xml:space="preserve"> des financements, que sur le plan de l’installation en elle-même puisqu’il s’agit d’un système vivant pouvant être déstabilisé</w:t>
      </w:r>
      <w:r w:rsidR="00C25646">
        <w:t>.</w:t>
      </w:r>
    </w:p>
    <w:p w14:paraId="7BC2351E" w14:textId="049A36A5" w:rsidR="00B7744E" w:rsidRDefault="00B7744E" w:rsidP="00B7744E">
      <w:r>
        <w:t>D’autre part, ces installations ne bénéficient pas</w:t>
      </w:r>
      <w:r w:rsidR="00F77624">
        <w:t xml:space="preserve"> toujours</w:t>
      </w:r>
      <w:r>
        <w:t xml:space="preserve"> d’une bonne acceptabilité sociale</w:t>
      </w:r>
      <w:r w:rsidR="00F77624">
        <w:t>,</w:t>
      </w:r>
      <w:r>
        <w:t xml:space="preserve"> ce qui peut ralentir ou mettre en difficulté un projet. </w:t>
      </w:r>
    </w:p>
    <w:p w14:paraId="68291D10" w14:textId="1C7C32B6" w:rsidR="00B7744E" w:rsidRPr="00C25646" w:rsidRDefault="00B7744E" w:rsidP="00B7744E">
      <w:r>
        <w:t>Il peut être intéressant pour faciliter l’émergence de tels projets de s</w:t>
      </w:r>
      <w:r w:rsidRPr="00E40441">
        <w:rPr>
          <w:lang w:bidi="en-US"/>
        </w:rPr>
        <w:t>e rapprocher de la Chambre d’Agriculture pour travailler avec les agriculteurs</w:t>
      </w:r>
      <w:r>
        <w:rPr>
          <w:lang w:bidi="en-US"/>
        </w:rPr>
        <w:t xml:space="preserve"> et identifier d’éventuels porteurs de projet</w:t>
      </w:r>
      <w:r w:rsidR="00F77624">
        <w:rPr>
          <w:lang w:bidi="en-US"/>
        </w:rPr>
        <w:t>,</w:t>
      </w:r>
      <w:r>
        <w:rPr>
          <w:lang w:bidi="en-US"/>
        </w:rPr>
        <w:t xml:space="preserve"> voire d’é</w:t>
      </w:r>
      <w:r w:rsidRPr="00E40441">
        <w:t xml:space="preserve">changer avec </w:t>
      </w:r>
      <w:r>
        <w:t>d</w:t>
      </w:r>
      <w:r w:rsidRPr="00E40441">
        <w:t xml:space="preserve">es territoires voisins pour identifier </w:t>
      </w:r>
      <w:r>
        <w:t>d</w:t>
      </w:r>
      <w:r w:rsidRPr="00E40441">
        <w:t>es opportunités de mutualisation</w:t>
      </w:r>
      <w:r>
        <w:t>.</w:t>
      </w:r>
    </w:p>
    <w:p w14:paraId="0C4CCB0D" w14:textId="77777777" w:rsidR="00B7744E" w:rsidRPr="00D97581" w:rsidRDefault="00B7744E" w:rsidP="00B7744E">
      <w:pPr>
        <w:rPr>
          <w:highlight w:val="yellow"/>
        </w:rPr>
      </w:pPr>
    </w:p>
    <w:p w14:paraId="79167C33" w14:textId="77777777" w:rsidR="00B7744E" w:rsidRPr="009E2616" w:rsidRDefault="00B7744E" w:rsidP="009B49C8">
      <w:pPr>
        <w:pStyle w:val="Titre3"/>
        <w:ind w:left="2818"/>
      </w:pPr>
      <w:bookmarkStart w:id="164" w:name="_Toc83706303"/>
      <w:bookmarkStart w:id="165" w:name="_Toc129784759"/>
      <w:r w:rsidRPr="009E2616">
        <w:t>Récupération de chaleur fatale</w:t>
      </w:r>
      <w:bookmarkEnd w:id="164"/>
      <w:bookmarkEnd w:id="165"/>
      <w:r w:rsidRPr="009E2616">
        <w:tab/>
      </w:r>
    </w:p>
    <w:p w14:paraId="6EA79F7E" w14:textId="21709DCC" w:rsidR="00B7744E" w:rsidRPr="00C25646" w:rsidRDefault="00B7744E" w:rsidP="00C25646">
      <w:pPr>
        <w:rPr>
          <w:rStyle w:val="Rfrencelgre"/>
        </w:rPr>
      </w:pPr>
      <w:r w:rsidRPr="00C25646">
        <w:rPr>
          <w:rStyle w:val="Rfrencelgre"/>
        </w:rPr>
        <w:t>Méthodologie</w:t>
      </w:r>
    </w:p>
    <w:p w14:paraId="744C9FCE" w14:textId="77777777" w:rsidR="0000252B" w:rsidRDefault="00B7744E" w:rsidP="00B7744E">
      <w:r>
        <w:t>La chaleur fatale est l’énergie thermique produite mais non utilisée, lors d’un procédé de production ou de transformation. La chaleur fatale peut être récupérée dans l’industrie pour répondre à des besoins internes de l’entreprise ou pour être valorisée plus largement par un réseau de chaleur. Les équipements permettant de récupérer de la chaleur fatale sont notamment les compresseurs, les groupes froids, les chaudières, les fours et les séchoirs.</w:t>
      </w:r>
    </w:p>
    <w:p w14:paraId="67600260" w14:textId="2B2F1AC7" w:rsidR="00B7744E" w:rsidRDefault="00B7744E" w:rsidP="00B7744E">
      <w:pPr>
        <w:rPr>
          <w:highlight w:val="yellow"/>
        </w:rPr>
      </w:pPr>
      <w:r w:rsidRPr="007E0AF4">
        <w:t xml:space="preserve">Le </w:t>
      </w:r>
      <w:r w:rsidRPr="00B12CF9">
        <w:t>potentiel brut de récupération de chaleur fatale</w:t>
      </w:r>
      <w:r w:rsidRPr="007E0AF4">
        <w:t xml:space="preserve"> est un potentiel théorique prenant en compte la consommation énergétique (gaz, fioul, charbon) de l’industrie. Selon les études de </w:t>
      </w:r>
      <w:proofErr w:type="spellStart"/>
      <w:r w:rsidRPr="007E0AF4">
        <w:t>l’Ademe</w:t>
      </w:r>
      <w:proofErr w:type="spellEnd"/>
      <w:r w:rsidRPr="007E0AF4">
        <w:t>, 17% de la consommation de combustible en industrie est perdue en chaleur fatale de plus de 100°C.</w:t>
      </w:r>
    </w:p>
    <w:p w14:paraId="69480F97" w14:textId="7960EFD8" w:rsidR="00B7744E" w:rsidRPr="0004402E" w:rsidRDefault="00B7744E" w:rsidP="00B7744E">
      <w:r w:rsidRPr="0004402E">
        <w:t xml:space="preserve">L’ADEME a réalisé une étude sur le gisement de chaleur fatale pour chaque région en 2015. </w:t>
      </w:r>
      <w:r w:rsidRPr="0004402E">
        <w:br/>
        <w:t xml:space="preserve">En Ile-de-France, ce gisement </w:t>
      </w:r>
      <w:r w:rsidR="001E046C">
        <w:t xml:space="preserve">maximal </w:t>
      </w:r>
      <w:r w:rsidRPr="0004402E">
        <w:t xml:space="preserve">s’élève à </w:t>
      </w:r>
      <w:r w:rsidR="001E046C">
        <w:t>16</w:t>
      </w:r>
      <w:r w:rsidRPr="0004402E">
        <w:t xml:space="preserve"> 000 </w:t>
      </w:r>
      <w:proofErr w:type="gramStart"/>
      <w:r w:rsidRPr="0004402E">
        <w:t>GWh</w:t>
      </w:r>
      <w:proofErr w:type="gramEnd"/>
      <w:r w:rsidR="001E046C">
        <w:t xml:space="preserve"> pour la chaleur basse température </w:t>
      </w:r>
      <w:r w:rsidR="004E46F7">
        <w:t xml:space="preserve">(&lt; 60°C) </w:t>
      </w:r>
      <w:r w:rsidR="000677B2">
        <w:t xml:space="preserve">avec un potentiel valorisable de 5 600 GWh </w:t>
      </w:r>
      <w:r w:rsidRPr="0004402E">
        <w:t>et à 11</w:t>
      </w:r>
      <w:r w:rsidR="001E046C">
        <w:t xml:space="preserve"> 000</w:t>
      </w:r>
      <w:r w:rsidRPr="0004402E">
        <w:t xml:space="preserve"> GWh pour </w:t>
      </w:r>
      <w:r w:rsidR="001E046C">
        <w:t>la chaleur haute température</w:t>
      </w:r>
      <w:r w:rsidR="004E46F7">
        <w:t xml:space="preserve"> (&gt; à 90°C)</w:t>
      </w:r>
      <w:r w:rsidR="000677B2">
        <w:t xml:space="preserve"> avec un potentiel valorisable de 930 GWh</w:t>
      </w:r>
      <w:r w:rsidR="001E046C">
        <w:t>.</w:t>
      </w:r>
      <w:r w:rsidRPr="0004402E">
        <w:rPr>
          <w:rStyle w:val="Appelnotedebasdep"/>
        </w:rPr>
        <w:footnoteReference w:id="6"/>
      </w:r>
    </w:p>
    <w:p w14:paraId="0C8AF138" w14:textId="77777777" w:rsidR="00B7744E" w:rsidRDefault="00B7744E" w:rsidP="00B7744E"/>
    <w:p w14:paraId="4954B142" w14:textId="77777777" w:rsidR="00B7744E" w:rsidRPr="00C25646" w:rsidRDefault="00B7744E" w:rsidP="00C25646">
      <w:pPr>
        <w:rPr>
          <w:rStyle w:val="Rfrencelgre"/>
        </w:rPr>
      </w:pPr>
      <w:r w:rsidRPr="00C25646">
        <w:rPr>
          <w:rStyle w:val="Rfrencelgre"/>
        </w:rPr>
        <w:t>Potentiel brut en récupération de chaleur fatale</w:t>
      </w:r>
    </w:p>
    <w:p w14:paraId="5121087E" w14:textId="24622DFF" w:rsidR="00B7744E" w:rsidRDefault="00B7744E" w:rsidP="00B7744E">
      <w:r w:rsidRPr="009E51C2">
        <w:t>L’observatoire Energie-Climat d’Ile-de-France (ROSE) a évalué de manière théorique ce potentiel de récupération</w:t>
      </w:r>
      <w:r>
        <w:t xml:space="preserve"> issu de : </w:t>
      </w:r>
    </w:p>
    <w:p w14:paraId="7B4FA99A" w14:textId="77777777" w:rsidR="00B7744E" w:rsidRDefault="00B7744E" w:rsidP="008A0F26">
      <w:pPr>
        <w:pStyle w:val="Paragraphedeliste"/>
        <w:numPr>
          <w:ilvl w:val="0"/>
          <w:numId w:val="3"/>
        </w:numPr>
        <w:spacing w:after="200" w:line="276" w:lineRule="auto"/>
      </w:pPr>
      <w:proofErr w:type="spellStart"/>
      <w:r>
        <w:t>Data-center</w:t>
      </w:r>
      <w:proofErr w:type="spellEnd"/>
      <w:r>
        <w:t xml:space="preserve">, </w:t>
      </w:r>
    </w:p>
    <w:p w14:paraId="3A2A855D" w14:textId="77777777" w:rsidR="00B7744E" w:rsidRDefault="00B7744E" w:rsidP="008A0F26">
      <w:pPr>
        <w:pStyle w:val="Paragraphedeliste"/>
        <w:numPr>
          <w:ilvl w:val="0"/>
          <w:numId w:val="3"/>
        </w:numPr>
        <w:spacing w:after="200" w:line="276" w:lineRule="auto"/>
      </w:pPr>
      <w:r>
        <w:t xml:space="preserve">Industries, </w:t>
      </w:r>
    </w:p>
    <w:p w14:paraId="0C4B038D" w14:textId="77777777" w:rsidR="00B7744E" w:rsidRPr="00F16BFD" w:rsidRDefault="00B7744E" w:rsidP="008A0F26">
      <w:pPr>
        <w:pStyle w:val="Paragraphedeliste"/>
        <w:numPr>
          <w:ilvl w:val="0"/>
          <w:numId w:val="3"/>
        </w:numPr>
        <w:spacing w:after="200" w:line="276" w:lineRule="auto"/>
      </w:pPr>
      <w:r w:rsidRPr="00F16BFD">
        <w:t xml:space="preserve">Eaux usées en sortie de stations d’épuration (STEP), </w:t>
      </w:r>
    </w:p>
    <w:p w14:paraId="34D3E5A1" w14:textId="77777777" w:rsidR="00B7744E" w:rsidRDefault="00B7744E" w:rsidP="008A0F26">
      <w:pPr>
        <w:pStyle w:val="Paragraphedeliste"/>
        <w:numPr>
          <w:ilvl w:val="0"/>
          <w:numId w:val="3"/>
        </w:numPr>
        <w:spacing w:after="200" w:line="276" w:lineRule="auto"/>
      </w:pPr>
      <w:r>
        <w:t>Eaux usées en pieds d’immeubles</w:t>
      </w:r>
    </w:p>
    <w:p w14:paraId="401D2E2D" w14:textId="77777777" w:rsidR="00B7744E" w:rsidRPr="00F16BFD" w:rsidRDefault="00B7744E" w:rsidP="008A0F26">
      <w:pPr>
        <w:pStyle w:val="Paragraphedeliste"/>
        <w:numPr>
          <w:ilvl w:val="0"/>
          <w:numId w:val="3"/>
        </w:numPr>
        <w:spacing w:after="200" w:line="276" w:lineRule="auto"/>
      </w:pPr>
      <w:r w:rsidRPr="00F16BFD">
        <w:t xml:space="preserve">Usines d’incinération de déchets non dangereux (UIDND) de </w:t>
      </w:r>
      <w:proofErr w:type="spellStart"/>
      <w:r w:rsidRPr="00F16BFD">
        <w:t>thiverval-Grignon</w:t>
      </w:r>
      <w:proofErr w:type="spellEnd"/>
    </w:p>
    <w:p w14:paraId="0BD84DAD" w14:textId="49231F08" w:rsidR="00B7744E" w:rsidRDefault="00B7744E" w:rsidP="00B7744E">
      <w:pPr>
        <w:rPr>
          <w:highlight w:val="cyan"/>
        </w:rPr>
      </w:pPr>
      <w:r w:rsidRPr="00E17E18">
        <w:lastRenderedPageBreak/>
        <w:t xml:space="preserve">De ces données, il ressort que les principales sources de récupération de chaleur fatale telles que les </w:t>
      </w:r>
      <w:proofErr w:type="spellStart"/>
      <w:r w:rsidRPr="00E17E18">
        <w:t>data-centers</w:t>
      </w:r>
      <w:proofErr w:type="spellEnd"/>
      <w:r w:rsidRPr="00E17E18">
        <w:t xml:space="preserve">, Usine d’Incinération des Déchets Non Dangereux (UIDND) ou industries dont le potentiel de récupération de chaleur pourrait être mobilisé se situent en dehors du périmètre de la Communauté de communes.  </w:t>
      </w:r>
    </w:p>
    <w:p w14:paraId="24F3724D" w14:textId="636A4E78" w:rsidR="00B7744E" w:rsidRDefault="00B7744E" w:rsidP="00B7744E">
      <w:r w:rsidRPr="00DF6756">
        <w:t>D’un point de vue théorique, selon les cartographies du ROSE, ces potentiels pourraient être valorisés sur certaines communes de la CC</w:t>
      </w:r>
      <w:r>
        <w:t xml:space="preserve"> Haute Vallée de Chevreuse et dans certaines zones de ces communes</w:t>
      </w:r>
      <w:r w:rsidRPr="00DF6756">
        <w:t>. Pour les trois sources évoquées ci-dessous, chaque commune de la CC</w:t>
      </w:r>
      <w:r>
        <w:t xml:space="preserve"> Haute Vallée de Chevreuse </w:t>
      </w:r>
      <w:r w:rsidRPr="00DF6756">
        <w:t>pourrait théoriquement bénéficier d’un potentiel de récupération de chaleur hormis la commune de Choisel. Les communes du Mesnil-Saint-Denis et de Milon-la-Chapelle pourraient avoir accès à l’ensemble de ces sources de récupération de chaleur. Ces potentiels ne sont cependant pas chiffrés.</w:t>
      </w:r>
    </w:p>
    <w:p w14:paraId="2A74B037" w14:textId="77777777" w:rsidR="00B7744E" w:rsidRPr="00DF6756" w:rsidRDefault="00B7744E" w:rsidP="00B7744E">
      <w:r w:rsidRPr="00DF6756">
        <w:t xml:space="preserve">Concernant l’UIDND de Thiverval-Grignon, le ROSE considère que cette installation pourrait alimenter un réseau de chaleur sur une grande partie du département des Yvelines. </w:t>
      </w:r>
      <w:r>
        <w:t xml:space="preserve">Une </w:t>
      </w:r>
      <w:r w:rsidRPr="00DF6756">
        <w:t xml:space="preserve">telle installation </w:t>
      </w:r>
      <w:r>
        <w:t>ne serait cependant</w:t>
      </w:r>
      <w:r w:rsidRPr="00DF6756">
        <w:t xml:space="preserve"> </w:t>
      </w:r>
      <w:r>
        <w:t xml:space="preserve">sans doute </w:t>
      </w:r>
      <w:r w:rsidRPr="00DF6756">
        <w:t>pas réaliste en termes de coûts.</w:t>
      </w:r>
    </w:p>
    <w:p w14:paraId="59990951" w14:textId="77777777" w:rsidR="00B7744E" w:rsidRDefault="00B7744E" w:rsidP="00B7744E">
      <w:pPr>
        <w:rPr>
          <w:highlight w:val="cyan"/>
        </w:rPr>
      </w:pPr>
    </w:p>
    <w:p w14:paraId="69D4B892" w14:textId="77777777" w:rsidR="00BA2D9B" w:rsidRDefault="00B7744E" w:rsidP="00BA2D9B">
      <w:pPr>
        <w:keepNext/>
        <w:jc w:val="center"/>
      </w:pPr>
      <w:r w:rsidRPr="00243226">
        <w:rPr>
          <w:noProof/>
        </w:rPr>
        <w:drawing>
          <wp:inline distT="0" distB="0" distL="0" distR="0" wp14:anchorId="18637176" wp14:editId="7C529874">
            <wp:extent cx="5194913" cy="3360420"/>
            <wp:effectExtent l="0" t="0" r="6350" b="0"/>
            <wp:docPr id="7191" name="Image 719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 name="Image 7191" descr="Une image contenant carte&#10;&#10;Description générée automatiquement"/>
                    <pic:cNvPicPr/>
                  </pic:nvPicPr>
                  <pic:blipFill rotWithShape="1">
                    <a:blip r:embed="rId57"/>
                    <a:srcRect t="6911"/>
                    <a:stretch/>
                  </pic:blipFill>
                  <pic:spPr bwMode="auto">
                    <a:xfrm>
                      <a:off x="0" y="0"/>
                      <a:ext cx="5211387" cy="3371076"/>
                    </a:xfrm>
                    <a:prstGeom prst="rect">
                      <a:avLst/>
                    </a:prstGeom>
                    <a:ln>
                      <a:noFill/>
                    </a:ln>
                    <a:extLst>
                      <a:ext uri="{53640926-AAD7-44D8-BBD7-CCE9431645EC}">
                        <a14:shadowObscured xmlns:a14="http://schemas.microsoft.com/office/drawing/2010/main"/>
                      </a:ext>
                    </a:extLst>
                  </pic:spPr>
                </pic:pic>
              </a:graphicData>
            </a:graphic>
          </wp:inline>
        </w:drawing>
      </w:r>
    </w:p>
    <w:p w14:paraId="36F00092" w14:textId="07AF98FF" w:rsidR="00B7744E" w:rsidRPr="00BA2D9B" w:rsidRDefault="00BA2D9B" w:rsidP="00BA2D9B">
      <w:pPr>
        <w:pStyle w:val="Lgende"/>
        <w:jc w:val="center"/>
      </w:pPr>
      <w:bookmarkStart w:id="166" w:name="_Toc129786589"/>
      <w:r>
        <w:t xml:space="preserve">Figure </w:t>
      </w:r>
      <w:r w:rsidR="00D56558">
        <w:fldChar w:fldCharType="begin"/>
      </w:r>
      <w:r w:rsidR="00D56558">
        <w:instrText xml:space="preserve"> SEQ Figure \* ARABIC </w:instrText>
      </w:r>
      <w:r w:rsidR="00D56558">
        <w:fldChar w:fldCharType="separate"/>
      </w:r>
      <w:r>
        <w:rPr>
          <w:noProof/>
        </w:rPr>
        <w:t>35</w:t>
      </w:r>
      <w:r w:rsidR="00D56558">
        <w:rPr>
          <w:noProof/>
        </w:rPr>
        <w:fldChar w:fldCharType="end"/>
      </w:r>
      <w:bookmarkStart w:id="167" w:name="_Toc126096851"/>
      <w:r>
        <w:t xml:space="preserve"> </w:t>
      </w:r>
      <w:r w:rsidR="00B7744E">
        <w:t xml:space="preserve">: </w:t>
      </w:r>
      <w:r w:rsidR="00B7744E" w:rsidRPr="00410567">
        <w:t xml:space="preserve">Zone de </w:t>
      </w:r>
      <w:r w:rsidR="00B7744E">
        <w:t xml:space="preserve">viabilité </w:t>
      </w:r>
      <w:r w:rsidR="00B7744E" w:rsidRPr="00410567">
        <w:t xml:space="preserve">des réseaux de chaleurs potentiels d'après les gisements basse température (BT) </w:t>
      </w:r>
      <w:r w:rsidR="00B12CF9">
        <w:br/>
      </w:r>
      <w:r w:rsidR="00B7744E" w:rsidRPr="00410567">
        <w:t>des STEU (Station de traitement des eaux usées) et la demande (BT) en 2015</w:t>
      </w:r>
      <w:bookmarkEnd w:id="167"/>
      <w:bookmarkEnd w:id="166"/>
    </w:p>
    <w:p w14:paraId="3052B6C2" w14:textId="77777777" w:rsidR="00B7744E" w:rsidRPr="00907BE7" w:rsidRDefault="00B7744E" w:rsidP="00907BE7">
      <w:pPr>
        <w:pStyle w:val="Lgende"/>
        <w:jc w:val="center"/>
        <w:rPr>
          <w:b w:val="0"/>
          <w:bCs w:val="0"/>
          <w:i/>
          <w:iCs/>
          <w:color w:val="auto"/>
        </w:rPr>
      </w:pPr>
      <w:r w:rsidRPr="00907BE7">
        <w:rPr>
          <w:b w:val="0"/>
          <w:bCs w:val="0"/>
          <w:i/>
          <w:iCs/>
          <w:color w:val="auto"/>
        </w:rPr>
        <w:t>Source : ROSE Ile-de-France</w:t>
      </w:r>
    </w:p>
    <w:p w14:paraId="703A0285" w14:textId="77777777" w:rsidR="00B7744E" w:rsidRDefault="00B7744E" w:rsidP="00B7744E">
      <w:pPr>
        <w:jc w:val="center"/>
        <w:rPr>
          <w:sz w:val="20"/>
        </w:rPr>
      </w:pPr>
    </w:p>
    <w:p w14:paraId="374A8018" w14:textId="77777777" w:rsidR="00BA2D9B" w:rsidRDefault="00B7744E" w:rsidP="00BA2D9B">
      <w:pPr>
        <w:keepNext/>
        <w:jc w:val="center"/>
      </w:pPr>
      <w:r w:rsidRPr="00243226">
        <w:rPr>
          <w:noProof/>
          <w:sz w:val="20"/>
        </w:rPr>
        <w:lastRenderedPageBreak/>
        <w:drawing>
          <wp:inline distT="0" distB="0" distL="0" distR="0" wp14:anchorId="59F094F4" wp14:editId="15049B9E">
            <wp:extent cx="5234940" cy="3412636"/>
            <wp:effectExtent l="0" t="0" r="3810" b="0"/>
            <wp:docPr id="7192" name="Image 719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Image 7192" descr="Une image contenant carte&#10;&#10;Description générée automatiquement"/>
                    <pic:cNvPicPr/>
                  </pic:nvPicPr>
                  <pic:blipFill rotWithShape="1">
                    <a:blip r:embed="rId58"/>
                    <a:srcRect t="5738"/>
                    <a:stretch/>
                  </pic:blipFill>
                  <pic:spPr bwMode="auto">
                    <a:xfrm>
                      <a:off x="0" y="0"/>
                      <a:ext cx="5238273" cy="3414809"/>
                    </a:xfrm>
                    <a:prstGeom prst="rect">
                      <a:avLst/>
                    </a:prstGeom>
                    <a:ln>
                      <a:noFill/>
                    </a:ln>
                    <a:extLst>
                      <a:ext uri="{53640926-AAD7-44D8-BBD7-CCE9431645EC}">
                        <a14:shadowObscured xmlns:a14="http://schemas.microsoft.com/office/drawing/2010/main"/>
                      </a:ext>
                    </a:extLst>
                  </pic:spPr>
                </pic:pic>
              </a:graphicData>
            </a:graphic>
          </wp:inline>
        </w:drawing>
      </w:r>
    </w:p>
    <w:p w14:paraId="47D86EFE" w14:textId="6CD2AE39" w:rsidR="00B7744E" w:rsidRPr="00BA2D9B" w:rsidRDefault="00BA2D9B" w:rsidP="00BA2D9B">
      <w:pPr>
        <w:pStyle w:val="Lgende"/>
        <w:jc w:val="center"/>
      </w:pPr>
      <w:bookmarkStart w:id="168" w:name="_Toc129786590"/>
      <w:r>
        <w:t xml:space="preserve">Figure </w:t>
      </w:r>
      <w:r w:rsidR="00D56558">
        <w:fldChar w:fldCharType="begin"/>
      </w:r>
      <w:r w:rsidR="00D56558">
        <w:instrText xml:space="preserve"> SEQ Figure \* ARABIC </w:instrText>
      </w:r>
      <w:r w:rsidR="00D56558">
        <w:fldChar w:fldCharType="separate"/>
      </w:r>
      <w:r>
        <w:rPr>
          <w:noProof/>
        </w:rPr>
        <w:t>36</w:t>
      </w:r>
      <w:r w:rsidR="00D56558">
        <w:rPr>
          <w:noProof/>
        </w:rPr>
        <w:fldChar w:fldCharType="end"/>
      </w:r>
      <w:bookmarkStart w:id="169" w:name="_Toc126096852"/>
      <w:r>
        <w:t xml:space="preserve"> </w:t>
      </w:r>
      <w:r w:rsidR="00B7744E">
        <w:t xml:space="preserve">: </w:t>
      </w:r>
      <w:r w:rsidR="00B7744E" w:rsidRPr="00243226">
        <w:t xml:space="preserve">Zone de viabilité des réseaux de chaleurs potentiels d'après les gisements basse température (BT) </w:t>
      </w:r>
      <w:r w:rsidR="00B12CF9">
        <w:br/>
      </w:r>
      <w:r w:rsidR="00B7744E" w:rsidRPr="00243226">
        <w:t>des Indu</w:t>
      </w:r>
      <w:r w:rsidR="00B7744E">
        <w:t>s</w:t>
      </w:r>
      <w:r w:rsidR="00B7744E" w:rsidRPr="00243226">
        <w:t>tries et la demande (BT) en 2015</w:t>
      </w:r>
      <w:bookmarkEnd w:id="169"/>
      <w:bookmarkEnd w:id="168"/>
    </w:p>
    <w:p w14:paraId="5526E1E9" w14:textId="77777777" w:rsidR="00B7744E" w:rsidRPr="00907BE7" w:rsidRDefault="00B7744E" w:rsidP="00907BE7">
      <w:pPr>
        <w:pStyle w:val="Lgende"/>
        <w:jc w:val="center"/>
        <w:rPr>
          <w:b w:val="0"/>
          <w:bCs w:val="0"/>
          <w:i/>
          <w:iCs/>
          <w:color w:val="auto"/>
        </w:rPr>
      </w:pPr>
      <w:r w:rsidRPr="00907BE7">
        <w:rPr>
          <w:b w:val="0"/>
          <w:bCs w:val="0"/>
          <w:i/>
          <w:iCs/>
          <w:color w:val="auto"/>
        </w:rPr>
        <w:t>Source : ROSE Ile-de-France</w:t>
      </w:r>
    </w:p>
    <w:p w14:paraId="4FB5871A" w14:textId="77777777" w:rsidR="00B7744E" w:rsidRDefault="00B7744E" w:rsidP="00B7744E">
      <w:pPr>
        <w:jc w:val="center"/>
        <w:rPr>
          <w:sz w:val="20"/>
        </w:rPr>
      </w:pPr>
    </w:p>
    <w:p w14:paraId="31B2CD41" w14:textId="77777777" w:rsidR="00BA2D9B" w:rsidRDefault="00B7744E" w:rsidP="00BA2D9B">
      <w:pPr>
        <w:keepNext/>
        <w:jc w:val="center"/>
      </w:pPr>
      <w:r w:rsidRPr="00A05AF9">
        <w:rPr>
          <w:noProof/>
          <w:sz w:val="20"/>
        </w:rPr>
        <w:drawing>
          <wp:inline distT="0" distB="0" distL="0" distR="0" wp14:anchorId="7CD0E9FE" wp14:editId="27881B20">
            <wp:extent cx="5257800" cy="3089073"/>
            <wp:effectExtent l="0" t="0" r="0" b="0"/>
            <wp:docPr id="7193" name="Image 719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Image 7193" descr="Une image contenant carte&#10;&#10;Description générée automatiquement"/>
                    <pic:cNvPicPr/>
                  </pic:nvPicPr>
                  <pic:blipFill>
                    <a:blip r:embed="rId59"/>
                    <a:stretch>
                      <a:fillRect/>
                    </a:stretch>
                  </pic:blipFill>
                  <pic:spPr>
                    <a:xfrm>
                      <a:off x="0" y="0"/>
                      <a:ext cx="5276954" cy="3100327"/>
                    </a:xfrm>
                    <a:prstGeom prst="rect">
                      <a:avLst/>
                    </a:prstGeom>
                  </pic:spPr>
                </pic:pic>
              </a:graphicData>
            </a:graphic>
          </wp:inline>
        </w:drawing>
      </w:r>
    </w:p>
    <w:p w14:paraId="4214C908" w14:textId="2B8562B5" w:rsidR="00B7744E" w:rsidRPr="00BA2D9B" w:rsidRDefault="00BA2D9B" w:rsidP="00BA2D9B">
      <w:pPr>
        <w:pStyle w:val="Lgende"/>
        <w:jc w:val="center"/>
      </w:pPr>
      <w:bookmarkStart w:id="170" w:name="_Toc129786591"/>
      <w:r>
        <w:t xml:space="preserve">Figure </w:t>
      </w:r>
      <w:r w:rsidR="00D56558">
        <w:fldChar w:fldCharType="begin"/>
      </w:r>
      <w:r w:rsidR="00D56558">
        <w:instrText xml:space="preserve"> SEQ Figure \* ARABIC </w:instrText>
      </w:r>
      <w:r w:rsidR="00D56558">
        <w:fldChar w:fldCharType="separate"/>
      </w:r>
      <w:r>
        <w:rPr>
          <w:noProof/>
        </w:rPr>
        <w:t>37</w:t>
      </w:r>
      <w:r w:rsidR="00D56558">
        <w:rPr>
          <w:noProof/>
        </w:rPr>
        <w:fldChar w:fldCharType="end"/>
      </w:r>
      <w:bookmarkStart w:id="171" w:name="_Toc126096853"/>
      <w:r w:rsidR="00B7744E">
        <w:rPr>
          <w:szCs w:val="22"/>
        </w:rPr>
        <w:t xml:space="preserve"> </w:t>
      </w:r>
      <w:r w:rsidR="00B7744E">
        <w:t xml:space="preserve">: </w:t>
      </w:r>
      <w:r w:rsidR="00B7744E" w:rsidRPr="00243226">
        <w:t xml:space="preserve">Zone </w:t>
      </w:r>
      <w:r w:rsidR="00B7744E" w:rsidRPr="00A05AF9">
        <w:t xml:space="preserve">de viabilité des réseaux de chaleurs potentiels d'après les gisements basse température (BT) </w:t>
      </w:r>
      <w:r w:rsidR="00B12CF9">
        <w:br/>
      </w:r>
      <w:r w:rsidR="00B7744E" w:rsidRPr="00A05AF9">
        <w:t>des UIDND</w:t>
      </w:r>
      <w:r w:rsidR="00B7744E">
        <w:t xml:space="preserve"> (Unité d’incinération des déchets non dangereux)</w:t>
      </w:r>
      <w:r w:rsidR="00B7744E" w:rsidRPr="00A05AF9">
        <w:t xml:space="preserve"> et la demande (BT) en 2015</w:t>
      </w:r>
      <w:bookmarkEnd w:id="171"/>
      <w:bookmarkEnd w:id="170"/>
    </w:p>
    <w:p w14:paraId="3271223C" w14:textId="77777777" w:rsidR="00B7744E" w:rsidRPr="00907BE7" w:rsidRDefault="00B7744E" w:rsidP="00907BE7">
      <w:pPr>
        <w:pStyle w:val="Lgende"/>
        <w:jc w:val="center"/>
        <w:rPr>
          <w:b w:val="0"/>
          <w:bCs w:val="0"/>
          <w:i/>
          <w:iCs/>
          <w:color w:val="auto"/>
        </w:rPr>
      </w:pPr>
      <w:r w:rsidRPr="00907BE7">
        <w:rPr>
          <w:b w:val="0"/>
          <w:bCs w:val="0"/>
          <w:i/>
          <w:iCs/>
          <w:color w:val="auto"/>
        </w:rPr>
        <w:t>Source : ROSE Ile-de-France</w:t>
      </w:r>
    </w:p>
    <w:p w14:paraId="393B189C" w14:textId="77777777" w:rsidR="00B7744E" w:rsidRPr="00243226" w:rsidRDefault="00B7744E" w:rsidP="00B7744E">
      <w:pPr>
        <w:rPr>
          <w:sz w:val="20"/>
        </w:rPr>
      </w:pPr>
    </w:p>
    <w:p w14:paraId="2B2BF715" w14:textId="77777777" w:rsidR="00B7744E" w:rsidRPr="00AD4017" w:rsidRDefault="00B7744E" w:rsidP="00AD4017">
      <w:pPr>
        <w:rPr>
          <w:rStyle w:val="Rfrencelgre"/>
        </w:rPr>
      </w:pPr>
      <w:r w:rsidRPr="00AD4017">
        <w:rPr>
          <w:rStyle w:val="Rfrencelgre"/>
        </w:rPr>
        <w:lastRenderedPageBreak/>
        <w:t>Potentiel net</w:t>
      </w:r>
    </w:p>
    <w:p w14:paraId="63DCC0CB" w14:textId="77777777" w:rsidR="0068572B" w:rsidRDefault="00B7744E" w:rsidP="00CB05A1">
      <w:pPr>
        <w:rPr>
          <w:b/>
          <w:bCs/>
          <w:color w:val="000000" w:themeColor="text1"/>
        </w:rPr>
      </w:pPr>
      <w:r w:rsidRPr="00130C02">
        <w:rPr>
          <w:color w:val="000000" w:themeColor="text1"/>
        </w:rPr>
        <w:t>De manière plus réaliste,</w:t>
      </w:r>
      <w:r w:rsidR="00CB05A1" w:rsidRPr="00130C02">
        <w:rPr>
          <w:color w:val="000000" w:themeColor="text1"/>
        </w:rPr>
        <w:t xml:space="preserve"> grâce à l’analyse des données localisées issues de l’étude ADEME réalisée en 2015, il ressort que le </w:t>
      </w:r>
      <w:r w:rsidR="00CB05A1" w:rsidRPr="00130C02">
        <w:rPr>
          <w:b/>
          <w:bCs/>
          <w:color w:val="000000" w:themeColor="text1"/>
        </w:rPr>
        <w:t xml:space="preserve">potentiel </w:t>
      </w:r>
      <w:r w:rsidR="00130C02" w:rsidRPr="00130C02">
        <w:rPr>
          <w:b/>
          <w:bCs/>
          <w:color w:val="000000" w:themeColor="text1"/>
        </w:rPr>
        <w:t xml:space="preserve">réel </w:t>
      </w:r>
      <w:r w:rsidR="00CB05A1" w:rsidRPr="00130C02">
        <w:rPr>
          <w:b/>
          <w:bCs/>
          <w:color w:val="000000" w:themeColor="text1"/>
        </w:rPr>
        <w:t>valorisable en récupération de chaleur fatale sur le territoire</w:t>
      </w:r>
      <w:r w:rsidR="00130C02" w:rsidRPr="00130C02">
        <w:rPr>
          <w:b/>
          <w:bCs/>
          <w:color w:val="000000" w:themeColor="text1"/>
        </w:rPr>
        <w:t xml:space="preserve"> est estimé à</w:t>
      </w:r>
      <w:r w:rsidR="00130C02" w:rsidRPr="00130C02">
        <w:rPr>
          <w:color w:val="000000" w:themeColor="text1"/>
        </w:rPr>
        <w:t xml:space="preserve"> </w:t>
      </w:r>
      <w:r w:rsidR="00130C02" w:rsidRPr="00130C02">
        <w:rPr>
          <w:b/>
          <w:bCs/>
          <w:color w:val="000000" w:themeColor="text1"/>
        </w:rPr>
        <w:t>5 000 MWh.</w:t>
      </w:r>
    </w:p>
    <w:p w14:paraId="43C1D021" w14:textId="5D5D6AF2" w:rsidR="00CB05A1" w:rsidRPr="0068572B" w:rsidRDefault="00130C02" w:rsidP="00CB05A1">
      <w:pPr>
        <w:rPr>
          <w:b/>
          <w:bCs/>
          <w:color w:val="000000" w:themeColor="text1"/>
        </w:rPr>
      </w:pPr>
      <w:r w:rsidRPr="00130C02">
        <w:rPr>
          <w:color w:val="000000" w:themeColor="text1"/>
        </w:rPr>
        <w:t xml:space="preserve">Il </w:t>
      </w:r>
      <w:r w:rsidR="00CB05A1" w:rsidRPr="00130C02">
        <w:rPr>
          <w:color w:val="000000" w:themeColor="text1"/>
        </w:rPr>
        <w:t xml:space="preserve">sera principalement issu des sources suivantes : </w:t>
      </w:r>
    </w:p>
    <w:p w14:paraId="7D5A4F9C" w14:textId="26DD27C1" w:rsidR="00CB05A1" w:rsidRPr="00130C02" w:rsidRDefault="00CB05A1" w:rsidP="00CB05A1">
      <w:pPr>
        <w:pStyle w:val="Paragraphedeliste"/>
        <w:numPr>
          <w:ilvl w:val="0"/>
          <w:numId w:val="3"/>
        </w:numPr>
        <w:rPr>
          <w:color w:val="000000" w:themeColor="text1"/>
        </w:rPr>
      </w:pPr>
      <w:proofErr w:type="gramStart"/>
      <w:r w:rsidRPr="00130C02">
        <w:rPr>
          <w:color w:val="000000" w:themeColor="text1"/>
        </w:rPr>
        <w:t>eaux</w:t>
      </w:r>
      <w:proofErr w:type="gramEnd"/>
      <w:r w:rsidRPr="00130C02">
        <w:rPr>
          <w:color w:val="000000" w:themeColor="text1"/>
        </w:rPr>
        <w:t xml:space="preserve"> usées en sortie de bâtiment pour un potentiel estimé de 220 MWh/an</w:t>
      </w:r>
    </w:p>
    <w:p w14:paraId="0CAD1AC5" w14:textId="0CD44BCB" w:rsidR="00CB05A1" w:rsidRPr="00130C02" w:rsidRDefault="00CB05A1" w:rsidP="00CB05A1">
      <w:pPr>
        <w:pStyle w:val="Paragraphedeliste"/>
        <w:numPr>
          <w:ilvl w:val="0"/>
          <w:numId w:val="3"/>
        </w:numPr>
        <w:rPr>
          <w:color w:val="000000" w:themeColor="text1"/>
        </w:rPr>
      </w:pPr>
      <w:proofErr w:type="gramStart"/>
      <w:r w:rsidRPr="00130C02">
        <w:rPr>
          <w:color w:val="000000" w:themeColor="text1"/>
        </w:rPr>
        <w:t>industries</w:t>
      </w:r>
      <w:proofErr w:type="gramEnd"/>
      <w:r w:rsidRPr="00130C02">
        <w:rPr>
          <w:color w:val="000000" w:themeColor="text1"/>
        </w:rPr>
        <w:t xml:space="preserve"> situées à proximité de l’intercommunalité pour un potentiel valorisable estimé en basse-température de 4 800 MWh/an. Les deux industries identifiées sont : </w:t>
      </w:r>
    </w:p>
    <w:p w14:paraId="67E8BE39" w14:textId="79468EC1" w:rsidR="00CB05A1" w:rsidRPr="00130C02" w:rsidRDefault="00CB05A1" w:rsidP="00CB05A1">
      <w:pPr>
        <w:pStyle w:val="Paragraphedeliste"/>
        <w:numPr>
          <w:ilvl w:val="1"/>
          <w:numId w:val="3"/>
        </w:numPr>
        <w:rPr>
          <w:color w:val="000000" w:themeColor="text1"/>
        </w:rPr>
      </w:pPr>
      <w:r w:rsidRPr="00130C02">
        <w:rPr>
          <w:color w:val="000000" w:themeColor="text1"/>
        </w:rPr>
        <w:t>CRMA (filiale du Groupe AIR</w:t>
      </w:r>
      <w:r w:rsidRPr="00130C02">
        <w:rPr>
          <w:b/>
          <w:bCs/>
          <w:color w:val="000000" w:themeColor="text1"/>
        </w:rPr>
        <w:t> FRANCE</w:t>
      </w:r>
      <w:r w:rsidRPr="00130C02">
        <w:rPr>
          <w:color w:val="000000" w:themeColor="text1"/>
        </w:rPr>
        <w:t xml:space="preserve"> KLM) basé à Elancourt </w:t>
      </w:r>
    </w:p>
    <w:p w14:paraId="78ED3D5F" w14:textId="77777777" w:rsidR="00934082" w:rsidRPr="00934082" w:rsidRDefault="00130C02" w:rsidP="00C25646">
      <w:pPr>
        <w:pStyle w:val="Paragraphedeliste"/>
        <w:numPr>
          <w:ilvl w:val="1"/>
          <w:numId w:val="3"/>
        </w:numPr>
      </w:pPr>
      <w:r w:rsidRPr="00130C02">
        <w:rPr>
          <w:color w:val="000000" w:themeColor="text1"/>
        </w:rPr>
        <w:t>Blanchisserie</w:t>
      </w:r>
      <w:r w:rsidR="00934082">
        <w:rPr>
          <w:color w:val="000000" w:themeColor="text1"/>
        </w:rPr>
        <w:t xml:space="preserve"> ELIS située à Trappes</w:t>
      </w:r>
      <w:r w:rsidR="00934082">
        <w:rPr>
          <w:color w:val="000000" w:themeColor="text1"/>
        </w:rPr>
        <w:tab/>
      </w:r>
    </w:p>
    <w:p w14:paraId="6ED82679" w14:textId="77777777" w:rsidR="00934082" w:rsidRDefault="00934082" w:rsidP="00934082">
      <w:pPr>
        <w:rPr>
          <w:color w:val="9CADE2" w:themeColor="accent6" w:themeTint="66"/>
        </w:rPr>
      </w:pPr>
    </w:p>
    <w:p w14:paraId="426B8075" w14:textId="580285B2" w:rsidR="00934082" w:rsidRPr="00BA2D9B" w:rsidRDefault="00934082" w:rsidP="00934082">
      <w:pPr>
        <w:pStyle w:val="Lgende"/>
        <w:jc w:val="center"/>
      </w:pPr>
      <w:bookmarkStart w:id="172" w:name="_Toc129786592"/>
      <w:r>
        <w:rPr>
          <w:noProof/>
        </w:rPr>
        <w:drawing>
          <wp:inline distT="0" distB="0" distL="0" distR="0" wp14:anchorId="0B6FD4D1" wp14:editId="57024127">
            <wp:extent cx="4572000" cy="2743200"/>
            <wp:effectExtent l="0" t="0" r="0" b="0"/>
            <wp:docPr id="7185" name="Graphique 7185">
              <a:extLst xmlns:a="http://schemas.openxmlformats.org/drawingml/2006/main">
                <a:ext uri="{FF2B5EF4-FFF2-40B4-BE49-F238E27FC236}">
                  <a16:creationId xmlns:a16="http://schemas.microsoft.com/office/drawing/2014/main" id="{28250536-F822-E46E-BDB3-3DEBEE210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130C02" w:rsidRPr="00934082">
        <w:rPr>
          <w:color w:val="9CADE2" w:themeColor="accent6" w:themeTint="66"/>
        </w:rPr>
        <w:br/>
      </w:r>
      <w:r>
        <w:t xml:space="preserve">Figure </w:t>
      </w:r>
      <w:r>
        <w:fldChar w:fldCharType="begin"/>
      </w:r>
      <w:r>
        <w:instrText xml:space="preserve"> SEQ Figure \* ARABIC </w:instrText>
      </w:r>
      <w:r>
        <w:fldChar w:fldCharType="separate"/>
      </w:r>
      <w:r>
        <w:rPr>
          <w:noProof/>
        </w:rPr>
        <w:t>37</w:t>
      </w:r>
      <w:r>
        <w:fldChar w:fldCharType="end"/>
      </w:r>
      <w:r>
        <w:rPr>
          <w:szCs w:val="22"/>
        </w:rPr>
        <w:t xml:space="preserve"> </w:t>
      </w:r>
      <w:r>
        <w:t>: Répartition du potentiel valorisable de récupération de chaleur fatale</w:t>
      </w:r>
      <w:bookmarkEnd w:id="172"/>
      <w:r>
        <w:t xml:space="preserve"> </w:t>
      </w:r>
    </w:p>
    <w:p w14:paraId="312BE0B2" w14:textId="21686417" w:rsidR="00934082" w:rsidRPr="00907BE7" w:rsidRDefault="00934082" w:rsidP="00934082">
      <w:pPr>
        <w:pStyle w:val="Lgende"/>
        <w:jc w:val="center"/>
        <w:rPr>
          <w:b w:val="0"/>
          <w:bCs w:val="0"/>
          <w:i/>
          <w:iCs/>
          <w:color w:val="auto"/>
        </w:rPr>
      </w:pPr>
      <w:r w:rsidRPr="00907BE7">
        <w:rPr>
          <w:b w:val="0"/>
          <w:bCs w:val="0"/>
          <w:i/>
          <w:iCs/>
          <w:color w:val="auto"/>
        </w:rPr>
        <w:t xml:space="preserve">Source : </w:t>
      </w:r>
      <w:r>
        <w:rPr>
          <w:b w:val="0"/>
          <w:bCs w:val="0"/>
          <w:i/>
          <w:iCs/>
          <w:color w:val="auto"/>
        </w:rPr>
        <w:t>ADEME – Etude chaleur renouvelable 2015</w:t>
      </w:r>
    </w:p>
    <w:p w14:paraId="43FE201F" w14:textId="7B57E9F2" w:rsidR="0000252B" w:rsidRPr="00C25646" w:rsidRDefault="0000252B" w:rsidP="00934082">
      <w:pPr>
        <w:jc w:val="center"/>
      </w:pPr>
    </w:p>
    <w:p w14:paraId="738E7D71" w14:textId="77777777" w:rsidR="00B7744E" w:rsidRPr="00AD4017" w:rsidRDefault="00B7744E" w:rsidP="00AD4017">
      <w:pPr>
        <w:rPr>
          <w:rStyle w:val="Rfrencelgre"/>
        </w:rPr>
      </w:pPr>
      <w:r w:rsidRPr="00AD4017">
        <w:rPr>
          <w:rStyle w:val="Rfrencelgre"/>
        </w:rPr>
        <w:t>Bilan</w:t>
      </w:r>
    </w:p>
    <w:p w14:paraId="3C6F5A5A" w14:textId="589F831F" w:rsidR="00B7744E" w:rsidRPr="00D81AE9" w:rsidRDefault="00B7744E" w:rsidP="00EA1E3D">
      <w:pPr>
        <w:pStyle w:val="Lgende"/>
        <w:keepNext/>
        <w:jc w:val="center"/>
      </w:pPr>
      <w:r w:rsidRPr="00124D05">
        <w:t>Tableau</w:t>
      </w:r>
      <w:r>
        <w:t xml:space="preserve"> 23</w:t>
      </w:r>
      <w:r w:rsidRPr="00124D05">
        <w:t xml:space="preserve"> : Récapitulatif du potentiel de </w:t>
      </w:r>
      <w:r>
        <w:t xml:space="preserve">récupération de chaleur </w:t>
      </w:r>
      <w:r w:rsidRPr="00124D05">
        <w:t>sur le territoire d‘étude</w:t>
      </w:r>
    </w:p>
    <w:tbl>
      <w:tblPr>
        <w:tblStyle w:val="AKAtab1"/>
        <w:tblW w:w="9062" w:type="dxa"/>
        <w:tblLook w:val="04A0" w:firstRow="1" w:lastRow="0" w:firstColumn="1" w:lastColumn="0" w:noHBand="0" w:noVBand="1"/>
      </w:tblPr>
      <w:tblGrid>
        <w:gridCol w:w="3539"/>
        <w:gridCol w:w="5523"/>
      </w:tblGrid>
      <w:tr w:rsidR="00B7744E" w:rsidRPr="00D81AE9" w14:paraId="2A9E49B8" w14:textId="77777777" w:rsidTr="007E207C">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16EA03BE" w14:textId="77777777" w:rsidR="00B7744E" w:rsidRPr="00D81AE9" w:rsidRDefault="00B7744E" w:rsidP="00CC02E9">
            <w:pPr>
              <w:ind w:right="4117"/>
              <w:jc w:val="left"/>
              <w:rPr>
                <w:rFonts w:eastAsia="Times New Roman" w:cs="Calibri"/>
                <w:b w:val="0"/>
                <w:bCs/>
                <w:color w:val="FFFFFF"/>
              </w:rPr>
            </w:pPr>
            <w:r w:rsidRPr="00D81AE9">
              <w:rPr>
                <w:rFonts w:eastAsia="Times New Roman" w:cs="Calibri"/>
                <w:b w:val="0"/>
                <w:bCs/>
                <w:color w:val="FFFFFF"/>
              </w:rPr>
              <w:t xml:space="preserve">Filière : </w:t>
            </w:r>
            <w:r>
              <w:rPr>
                <w:rFonts w:eastAsia="Times New Roman" w:cs="Calibri"/>
                <w:b w:val="0"/>
                <w:bCs/>
                <w:color w:val="FFFFFF"/>
              </w:rPr>
              <w:t>Chaleur fatale</w:t>
            </w:r>
          </w:p>
        </w:tc>
      </w:tr>
      <w:tr w:rsidR="007E207C" w:rsidRPr="00D81AE9" w14:paraId="043E8DEF" w14:textId="77777777" w:rsidTr="00CC02E9">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2" w:type="dxa"/>
            <w:gridSpan w:val="2"/>
          </w:tcPr>
          <w:p w14:paraId="4141614D" w14:textId="77777777" w:rsidR="007E207C" w:rsidRPr="00D81AE9" w:rsidRDefault="007E207C" w:rsidP="00CC02E9">
            <w:pPr>
              <w:jc w:val="center"/>
              <w:rPr>
                <w:rFonts w:eastAsia="Times New Roman" w:cs="Calibri"/>
                <w:b/>
                <w:bCs/>
                <w:color w:val="000000"/>
              </w:rPr>
            </w:pPr>
            <w:r>
              <w:rPr>
                <w:rFonts w:eastAsia="Times New Roman" w:cs="Calibri"/>
                <w:b/>
                <w:bCs/>
                <w:color w:val="000000"/>
              </w:rPr>
              <w:t>CC de la Haute Vallée de Chevreuse</w:t>
            </w:r>
          </w:p>
        </w:tc>
      </w:tr>
      <w:tr w:rsidR="00B7744E" w:rsidRPr="00D97581" w14:paraId="6559ECA3" w14:textId="77777777" w:rsidTr="007E207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ED7BDD2" w14:textId="77777777" w:rsidR="00B7744E" w:rsidRPr="00D81AE9" w:rsidRDefault="00B7744E" w:rsidP="00CC02E9">
            <w:pPr>
              <w:jc w:val="center"/>
              <w:rPr>
                <w:rFonts w:eastAsia="Times New Roman" w:cs="Calibri"/>
                <w:b/>
                <w:bCs/>
                <w:color w:val="000000"/>
              </w:rPr>
            </w:pPr>
            <w:r w:rsidRPr="00D81AE9">
              <w:rPr>
                <w:rFonts w:eastAsia="Times New Roman" w:cs="Calibri"/>
                <w:b/>
                <w:bCs/>
                <w:color w:val="000000"/>
              </w:rPr>
              <w:t>Potentiel net</w:t>
            </w:r>
          </w:p>
        </w:tc>
        <w:tc>
          <w:tcPr>
            <w:tcW w:w="5523" w:type="dxa"/>
            <w:noWrap/>
          </w:tcPr>
          <w:p w14:paraId="659A23BD" w14:textId="1E98CFE4" w:rsidR="00B7744E" w:rsidRPr="00D81AE9" w:rsidRDefault="00130C02" w:rsidP="00CC02E9">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eastAsia="Times New Roman" w:cs="Calibri"/>
                <w:color w:val="000000"/>
              </w:rPr>
              <w:t xml:space="preserve">5 000 </w:t>
            </w:r>
            <w:r w:rsidR="00B7744E" w:rsidRPr="00D81AE9">
              <w:rPr>
                <w:rFonts w:eastAsia="Times New Roman" w:cs="Calibri"/>
                <w:color w:val="000000"/>
              </w:rPr>
              <w:t xml:space="preserve"> MWh</w:t>
            </w:r>
          </w:p>
        </w:tc>
      </w:tr>
    </w:tbl>
    <w:p w14:paraId="668816DF" w14:textId="77777777" w:rsidR="00AD4017" w:rsidRPr="00AD4017" w:rsidRDefault="00AD4017" w:rsidP="00AD4017">
      <w:pPr>
        <w:rPr>
          <w:highlight w:val="yellow"/>
        </w:rPr>
      </w:pPr>
    </w:p>
    <w:p w14:paraId="61E62D37" w14:textId="77777777" w:rsidR="00B7744E" w:rsidRPr="00AD4017" w:rsidRDefault="00B7744E" w:rsidP="00AD4017">
      <w:pPr>
        <w:rPr>
          <w:rStyle w:val="Rfrencelgre"/>
        </w:rPr>
      </w:pPr>
      <w:r w:rsidRPr="00AD4017">
        <w:rPr>
          <w:rStyle w:val="Rfrencelgre"/>
        </w:rPr>
        <w:t>Contraintes et préconisations liées à la mobilisation du potentiel</w:t>
      </w:r>
    </w:p>
    <w:p w14:paraId="56617517" w14:textId="00514643" w:rsidR="00B7744E" w:rsidRDefault="00B7744E" w:rsidP="00B7744E">
      <w:pPr>
        <w:pStyle w:val="Style6"/>
        <w:rPr>
          <w:rFonts w:ascii="Calibri" w:eastAsia="Batang" w:hAnsi="Calibri" w:cs="Times New Roman"/>
          <w:b w:val="0"/>
          <w:color w:val="auto"/>
          <w:sz w:val="22"/>
          <w:szCs w:val="24"/>
          <w:lang w:eastAsia="fr-FR"/>
        </w:rPr>
      </w:pPr>
      <w:r w:rsidRPr="00F01638">
        <w:rPr>
          <w:rFonts w:ascii="Calibri" w:eastAsia="Batang" w:hAnsi="Calibri" w:cs="Times New Roman"/>
          <w:b w:val="0"/>
          <w:color w:val="auto"/>
          <w:sz w:val="22"/>
          <w:szCs w:val="24"/>
          <w:lang w:eastAsia="fr-FR"/>
        </w:rPr>
        <w:t>La récupération de</w:t>
      </w:r>
      <w:r>
        <w:rPr>
          <w:rFonts w:ascii="Calibri" w:eastAsia="Batang" w:hAnsi="Calibri" w:cs="Times New Roman"/>
          <w:b w:val="0"/>
          <w:color w:val="auto"/>
          <w:sz w:val="22"/>
          <w:szCs w:val="24"/>
          <w:lang w:eastAsia="fr-FR"/>
        </w:rPr>
        <w:t xml:space="preserve"> chaleur sur les eaux usées est une</w:t>
      </w:r>
      <w:r w:rsidRPr="00F01638">
        <w:rPr>
          <w:rFonts w:ascii="Calibri" w:eastAsia="Batang" w:hAnsi="Calibri" w:cs="Times New Roman"/>
          <w:b w:val="0"/>
          <w:color w:val="auto"/>
          <w:sz w:val="22"/>
          <w:szCs w:val="24"/>
          <w:lang w:eastAsia="fr-FR"/>
        </w:rPr>
        <w:t xml:space="preserve"> technologie peu connue et peu éprouvée</w:t>
      </w:r>
      <w:r>
        <w:rPr>
          <w:rFonts w:ascii="Calibri" w:eastAsia="Batang" w:hAnsi="Calibri" w:cs="Times New Roman"/>
          <w:b w:val="0"/>
          <w:color w:val="auto"/>
          <w:sz w:val="22"/>
          <w:szCs w:val="24"/>
          <w:lang w:eastAsia="fr-FR"/>
        </w:rPr>
        <w:t xml:space="preserve"> qui peut demander des investissements très importants en cas</w:t>
      </w:r>
      <w:r w:rsidRPr="00F01638">
        <w:rPr>
          <w:rFonts w:ascii="Calibri" w:eastAsia="Batang" w:hAnsi="Calibri" w:cs="Times New Roman"/>
          <w:b w:val="0"/>
          <w:color w:val="auto"/>
          <w:sz w:val="22"/>
          <w:szCs w:val="24"/>
          <w:lang w:eastAsia="fr-FR"/>
        </w:rPr>
        <w:t xml:space="preserve"> de modification d’un réseau hydraulique existant</w:t>
      </w:r>
      <w:r>
        <w:rPr>
          <w:rFonts w:ascii="Calibri" w:eastAsia="Batang" w:hAnsi="Calibri" w:cs="Times New Roman"/>
          <w:b w:val="0"/>
          <w:color w:val="auto"/>
          <w:sz w:val="22"/>
          <w:szCs w:val="24"/>
          <w:lang w:eastAsia="fr-FR"/>
        </w:rPr>
        <w:t>. Des é</w:t>
      </w:r>
      <w:r w:rsidRPr="00F01638">
        <w:rPr>
          <w:rFonts w:ascii="Calibri" w:eastAsia="Batang" w:hAnsi="Calibri" w:cs="Times New Roman"/>
          <w:b w:val="0"/>
          <w:color w:val="auto"/>
          <w:sz w:val="22"/>
          <w:szCs w:val="24"/>
          <w:lang w:eastAsia="fr-FR"/>
        </w:rPr>
        <w:t xml:space="preserve">tudes complémentaires </w:t>
      </w:r>
      <w:r>
        <w:rPr>
          <w:rFonts w:ascii="Calibri" w:eastAsia="Batang" w:hAnsi="Calibri" w:cs="Times New Roman"/>
          <w:b w:val="0"/>
          <w:color w:val="auto"/>
          <w:sz w:val="22"/>
          <w:szCs w:val="24"/>
          <w:lang w:eastAsia="fr-FR"/>
        </w:rPr>
        <w:t xml:space="preserve">devront être </w:t>
      </w:r>
      <w:r w:rsidRPr="00F01638">
        <w:rPr>
          <w:rFonts w:ascii="Calibri" w:eastAsia="Batang" w:hAnsi="Calibri" w:cs="Times New Roman"/>
          <w:b w:val="0"/>
          <w:color w:val="auto"/>
          <w:sz w:val="22"/>
          <w:szCs w:val="24"/>
          <w:lang w:eastAsia="fr-FR"/>
        </w:rPr>
        <w:t>réalis</w:t>
      </w:r>
      <w:r>
        <w:rPr>
          <w:rFonts w:ascii="Calibri" w:eastAsia="Batang" w:hAnsi="Calibri" w:cs="Times New Roman"/>
          <w:b w:val="0"/>
          <w:color w:val="auto"/>
          <w:sz w:val="22"/>
          <w:szCs w:val="24"/>
          <w:lang w:eastAsia="fr-FR"/>
        </w:rPr>
        <w:t>ées</w:t>
      </w:r>
      <w:r w:rsidRPr="00F01638">
        <w:rPr>
          <w:rFonts w:ascii="Calibri" w:eastAsia="Batang" w:hAnsi="Calibri" w:cs="Times New Roman"/>
          <w:b w:val="0"/>
          <w:color w:val="auto"/>
          <w:sz w:val="22"/>
          <w:szCs w:val="24"/>
          <w:lang w:eastAsia="fr-FR"/>
        </w:rPr>
        <w:t xml:space="preserve"> pour s’assurer du potentiel de chaleur</w:t>
      </w:r>
      <w:r>
        <w:rPr>
          <w:rFonts w:ascii="Calibri" w:eastAsia="Batang" w:hAnsi="Calibri" w:cs="Times New Roman"/>
          <w:b w:val="0"/>
          <w:color w:val="auto"/>
          <w:sz w:val="22"/>
          <w:szCs w:val="24"/>
          <w:lang w:eastAsia="fr-FR"/>
        </w:rPr>
        <w:t xml:space="preserve"> </w:t>
      </w:r>
      <w:r w:rsidR="00F77624">
        <w:rPr>
          <w:rFonts w:ascii="Calibri" w:eastAsia="Batang" w:hAnsi="Calibri" w:cs="Times New Roman"/>
          <w:b w:val="0"/>
          <w:color w:val="auto"/>
          <w:sz w:val="22"/>
          <w:szCs w:val="24"/>
          <w:lang w:eastAsia="fr-FR"/>
        </w:rPr>
        <w:t>réellement</w:t>
      </w:r>
      <w:r w:rsidRPr="00F01638">
        <w:rPr>
          <w:rFonts w:ascii="Calibri" w:eastAsia="Batang" w:hAnsi="Calibri" w:cs="Times New Roman"/>
          <w:b w:val="0"/>
          <w:color w:val="auto"/>
          <w:sz w:val="22"/>
          <w:szCs w:val="24"/>
          <w:lang w:eastAsia="fr-FR"/>
        </w:rPr>
        <w:t xml:space="preserve"> valorisable</w:t>
      </w:r>
      <w:r w:rsidR="00AD69E8">
        <w:rPr>
          <w:rFonts w:ascii="Calibri" w:eastAsia="Batang" w:hAnsi="Calibri" w:cs="Times New Roman"/>
          <w:b w:val="0"/>
          <w:color w:val="auto"/>
          <w:sz w:val="22"/>
          <w:szCs w:val="24"/>
          <w:lang w:eastAsia="fr-FR"/>
        </w:rPr>
        <w:t xml:space="preserve"> </w:t>
      </w:r>
      <w:r w:rsidR="00AD69E8" w:rsidRPr="00AD69E8">
        <w:rPr>
          <w:rFonts w:ascii="Calibri" w:eastAsia="Batang" w:hAnsi="Calibri" w:cs="Times New Roman"/>
          <w:b w:val="0"/>
          <w:color w:val="auto"/>
          <w:sz w:val="22"/>
          <w:szCs w:val="24"/>
          <w:lang w:eastAsia="fr-FR"/>
        </w:rPr>
        <w:t>et de prendre contact directement avec les structures identifiées dans ce fichier.</w:t>
      </w:r>
    </w:p>
    <w:p w14:paraId="0AF00B16" w14:textId="44D73275" w:rsidR="002E437C" w:rsidRDefault="00B7744E" w:rsidP="002E437C">
      <w:pPr>
        <w:pStyle w:val="Style6"/>
        <w:rPr>
          <w:rFonts w:ascii="Calibri" w:eastAsia="Batang" w:hAnsi="Calibri" w:cs="Times New Roman"/>
          <w:b w:val="0"/>
          <w:color w:val="auto"/>
          <w:sz w:val="22"/>
          <w:szCs w:val="24"/>
          <w:lang w:eastAsia="fr-FR"/>
        </w:rPr>
      </w:pPr>
      <w:r>
        <w:rPr>
          <w:rFonts w:ascii="Calibri" w:eastAsia="Batang" w:hAnsi="Calibri" w:cs="Times New Roman"/>
          <w:b w:val="0"/>
          <w:color w:val="auto"/>
          <w:sz w:val="22"/>
          <w:szCs w:val="24"/>
          <w:lang w:eastAsia="fr-FR"/>
        </w:rPr>
        <w:t xml:space="preserve">Concernant le potentiel théorique de récupération de chaleur auprès des installations industrielles localisées sur des territoires voisins, les </w:t>
      </w:r>
      <w:r w:rsidRPr="00F01638">
        <w:rPr>
          <w:rFonts w:ascii="Calibri" w:eastAsia="Batang" w:hAnsi="Calibri" w:cs="Times New Roman"/>
          <w:b w:val="0"/>
          <w:color w:val="auto"/>
          <w:sz w:val="22"/>
          <w:szCs w:val="24"/>
          <w:lang w:eastAsia="fr-FR"/>
        </w:rPr>
        <w:t xml:space="preserve">potentiels techniques de récupération de chaleur fatale liée à leur activité </w:t>
      </w:r>
      <w:r>
        <w:rPr>
          <w:rFonts w:ascii="Calibri" w:eastAsia="Batang" w:hAnsi="Calibri" w:cs="Times New Roman"/>
          <w:b w:val="0"/>
          <w:color w:val="auto"/>
          <w:sz w:val="22"/>
          <w:szCs w:val="24"/>
          <w:lang w:eastAsia="fr-FR"/>
        </w:rPr>
        <w:t xml:space="preserve">devront être étudiés </w:t>
      </w:r>
      <w:r w:rsidRPr="00F01638">
        <w:rPr>
          <w:rFonts w:ascii="Calibri" w:eastAsia="Batang" w:hAnsi="Calibri" w:cs="Times New Roman"/>
          <w:b w:val="0"/>
          <w:color w:val="auto"/>
          <w:sz w:val="22"/>
          <w:szCs w:val="24"/>
          <w:lang w:eastAsia="fr-FR"/>
        </w:rPr>
        <w:t>précisément</w:t>
      </w:r>
      <w:r>
        <w:rPr>
          <w:rFonts w:ascii="Calibri" w:eastAsia="Batang" w:hAnsi="Calibri" w:cs="Times New Roman"/>
          <w:b w:val="0"/>
          <w:color w:val="auto"/>
          <w:sz w:val="22"/>
          <w:szCs w:val="24"/>
          <w:lang w:eastAsia="fr-FR"/>
        </w:rPr>
        <w:t xml:space="preserve"> afin d’identifier d’éventuelles opportunités et d’en vérifier la réalité économique.</w:t>
      </w:r>
      <w:r>
        <w:rPr>
          <w:rFonts w:ascii="Calibri" w:eastAsia="Batang" w:hAnsi="Calibri" w:cs="Times New Roman"/>
          <w:b w:val="0"/>
          <w:color w:val="auto"/>
          <w:sz w:val="22"/>
          <w:szCs w:val="24"/>
          <w:lang w:eastAsia="fr-FR"/>
        </w:rPr>
        <w:tab/>
      </w:r>
    </w:p>
    <w:p w14:paraId="57505AAA" w14:textId="2A037C33" w:rsidR="007748F3" w:rsidRDefault="007748F3">
      <w:pPr>
        <w:spacing w:after="200" w:line="276" w:lineRule="auto"/>
        <w:jc w:val="left"/>
        <w:rPr>
          <w:rFonts w:ascii="Calibri" w:eastAsia="Batang" w:hAnsi="Calibri" w:cs="Times New Roman"/>
          <w:szCs w:val="24"/>
        </w:rPr>
      </w:pPr>
      <w:r>
        <w:rPr>
          <w:rFonts w:ascii="Calibri" w:eastAsia="Batang" w:hAnsi="Calibri" w:cs="Times New Roman"/>
          <w:b/>
          <w:szCs w:val="24"/>
        </w:rPr>
        <w:br w:type="page"/>
      </w:r>
    </w:p>
    <w:p w14:paraId="35E5FB8C" w14:textId="77777777" w:rsidR="002E437C" w:rsidRDefault="002E437C" w:rsidP="008A0F26">
      <w:pPr>
        <w:pStyle w:val="Titre2"/>
        <w:ind w:left="1996" w:hanging="578"/>
      </w:pPr>
      <w:bookmarkStart w:id="173" w:name="_Toc129784760"/>
      <w:r>
        <w:lastRenderedPageBreak/>
        <w:t>Conclusion</w:t>
      </w:r>
      <w:bookmarkEnd w:id="173"/>
    </w:p>
    <w:p w14:paraId="6482027F" w14:textId="77777777" w:rsidR="002E437C" w:rsidRPr="00E052C8" w:rsidRDefault="002E437C" w:rsidP="002E437C">
      <w:r w:rsidRPr="00E052C8">
        <w:t xml:space="preserve">En cumulant les potentiels de chaque énergie, le potentiel de production d’énergie renouvelable mobilisable sur le territoire d’étude est de </w:t>
      </w:r>
      <w:r w:rsidRPr="00E052C8">
        <w:rPr>
          <w:b/>
        </w:rPr>
        <w:t xml:space="preserve">261 </w:t>
      </w:r>
      <w:proofErr w:type="gramStart"/>
      <w:r w:rsidRPr="00E052C8">
        <w:rPr>
          <w:b/>
        </w:rPr>
        <w:t>GWh</w:t>
      </w:r>
      <w:proofErr w:type="gramEnd"/>
      <w:r w:rsidRPr="00E052C8">
        <w:t xml:space="preserve">, soit environ 63% de la consommation d’énergie actuelle du territoire pouvant être couverte par les énergies renouvelables. L’enjeu sera donc de diminuer les consommations d’énergie du territoire tout en développant les énergies renouvelables. </w:t>
      </w:r>
    </w:p>
    <w:p w14:paraId="6AA6A377" w14:textId="77777777" w:rsidR="002E437C" w:rsidRDefault="002E437C" w:rsidP="002E437C">
      <w:pPr>
        <w:rPr>
          <w:b/>
          <w:highlight w:val="yellow"/>
          <w:u w:val="single"/>
        </w:rPr>
      </w:pPr>
    </w:p>
    <w:p w14:paraId="15DA0A90" w14:textId="77777777" w:rsidR="002E437C" w:rsidRPr="00E052C8" w:rsidRDefault="002E437C" w:rsidP="002E437C">
      <w:r w:rsidRPr="00E052C8">
        <w:rPr>
          <w:b/>
          <w:u w:val="single"/>
        </w:rPr>
        <w:t>Point d’attention</w:t>
      </w:r>
      <w:r w:rsidRPr="00E052C8">
        <w:t xml:space="preserve"> : </w:t>
      </w:r>
    </w:p>
    <w:p w14:paraId="68D3F33A" w14:textId="77777777" w:rsidR="002E437C" w:rsidRPr="00E052C8" w:rsidRDefault="002E437C" w:rsidP="002E437C">
      <w:r w:rsidRPr="00E052C8">
        <w:t xml:space="preserve">Le total estimé ci-dessus est purement théorique. En effet, certaines sources d’énergie utilisent les mêmes espaces (solaire thermique et solaire photovoltaïque utilisent les mêmes toitures) ou fournissent le même type d’énergie (bois, PAC et géothermie fournissent de la chaleur aux bâtiments) et leurs potentiels ne peuvent être cumulés. </w:t>
      </w:r>
    </w:p>
    <w:p w14:paraId="2626EBC3" w14:textId="77777777" w:rsidR="002E437C" w:rsidRDefault="002E437C" w:rsidP="002E437C">
      <w:pPr>
        <w:rPr>
          <w:highlight w:val="yellow"/>
        </w:rPr>
      </w:pPr>
      <w:bookmarkStart w:id="174" w:name="_Hlk33600975"/>
    </w:p>
    <w:p w14:paraId="3E2F5CB3" w14:textId="77777777" w:rsidR="002E437C" w:rsidRPr="00E052C8" w:rsidRDefault="002E437C" w:rsidP="002E437C">
      <w:r w:rsidRPr="00E052C8">
        <w:t xml:space="preserve">Établir une stratégie de développement des </w:t>
      </w:r>
      <w:proofErr w:type="spellStart"/>
      <w:r w:rsidRPr="00E052C8">
        <w:t>EnR</w:t>
      </w:r>
      <w:proofErr w:type="spellEnd"/>
      <w:r w:rsidRPr="00E052C8">
        <w:t xml:space="preserve"> fera donc l’objet d’arbitrage sur un potentiel à exploiter plus qu’un autre sur le territoire en fonction d’autres critères quantitatifs et qualitatifs tels que par exemple l’acceptabilité sociale locale, les acteurs et potentiels investisseurs locaux</w:t>
      </w:r>
      <w:r>
        <w:t>…</w:t>
      </w:r>
    </w:p>
    <w:bookmarkEnd w:id="174"/>
    <w:p w14:paraId="52EFF84F" w14:textId="77777777" w:rsidR="002E437C" w:rsidRDefault="002E437C" w:rsidP="002E437C">
      <w:pPr>
        <w:textAlignment w:val="center"/>
      </w:pPr>
    </w:p>
    <w:p w14:paraId="14EA1369" w14:textId="194A54FF" w:rsidR="00BA2D9B" w:rsidRDefault="006D0ECA" w:rsidP="00BA2D9B">
      <w:pPr>
        <w:keepNext/>
        <w:jc w:val="center"/>
        <w:textAlignment w:val="center"/>
      </w:pPr>
      <w:r>
        <w:rPr>
          <w:noProof/>
        </w:rPr>
        <w:drawing>
          <wp:inline distT="0" distB="0" distL="0" distR="0" wp14:anchorId="53AB8A5C" wp14:editId="55D8209F">
            <wp:extent cx="4592320" cy="3874346"/>
            <wp:effectExtent l="0" t="0" r="17780" b="12065"/>
            <wp:docPr id="2" name="Graphique 2">
              <a:extLst xmlns:a="http://schemas.openxmlformats.org/drawingml/2006/main">
                <a:ext uri="{FF2B5EF4-FFF2-40B4-BE49-F238E27FC236}">
                  <a16:creationId xmlns:a16="http://schemas.microsoft.com/office/drawing/2014/main" id="{A4CDB845-2F75-D1F0-4335-39E2C49F20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EC0BC09" w14:textId="655F000E" w:rsidR="002E437C" w:rsidRPr="00BA2D9B" w:rsidRDefault="00BA2D9B" w:rsidP="00BA2D9B">
      <w:pPr>
        <w:pStyle w:val="Lgende"/>
        <w:jc w:val="center"/>
        <w:rPr>
          <w:highlight w:val="yellow"/>
        </w:rPr>
      </w:pPr>
      <w:bookmarkStart w:id="175" w:name="_Toc129786593"/>
      <w:r>
        <w:t xml:space="preserve">Figure </w:t>
      </w:r>
      <w:r w:rsidR="00D56558">
        <w:fldChar w:fldCharType="begin"/>
      </w:r>
      <w:r w:rsidR="00D56558">
        <w:instrText xml:space="preserve"> SEQ Figure \* ARABIC </w:instrText>
      </w:r>
      <w:r w:rsidR="00D56558">
        <w:fldChar w:fldCharType="separate"/>
      </w:r>
      <w:r>
        <w:rPr>
          <w:noProof/>
        </w:rPr>
        <w:t>38</w:t>
      </w:r>
      <w:r w:rsidR="00D56558">
        <w:rPr>
          <w:noProof/>
        </w:rPr>
        <w:fldChar w:fldCharType="end"/>
      </w:r>
      <w:bookmarkStart w:id="176" w:name="_Toc126096858"/>
      <w:r>
        <w:t xml:space="preserve"> </w:t>
      </w:r>
      <w:r w:rsidR="002E437C">
        <w:t>: Potentiel de production d’</w:t>
      </w:r>
      <w:proofErr w:type="spellStart"/>
      <w:r w:rsidR="002E437C">
        <w:t>EnR&amp;R</w:t>
      </w:r>
      <w:proofErr w:type="spellEnd"/>
      <w:r w:rsidR="002E437C">
        <w:t xml:space="preserve"> sur le territoire de la CC de la Haute Vallée de Chevreuse</w:t>
      </w:r>
      <w:bookmarkEnd w:id="176"/>
      <w:bookmarkEnd w:id="175"/>
    </w:p>
    <w:p w14:paraId="72FA8746" w14:textId="77777777" w:rsidR="002E437C" w:rsidRPr="00410567" w:rsidRDefault="002E437C" w:rsidP="002E437C">
      <w:pPr>
        <w:jc w:val="center"/>
        <w:rPr>
          <w:i/>
          <w:iCs/>
          <w:sz w:val="20"/>
        </w:rPr>
      </w:pPr>
    </w:p>
    <w:p w14:paraId="13CB6A2F" w14:textId="77777777" w:rsidR="002E437C" w:rsidRDefault="002E437C">
      <w:pPr>
        <w:spacing w:after="200" w:line="276" w:lineRule="auto"/>
        <w:jc w:val="left"/>
        <w:rPr>
          <w:rFonts w:ascii="Calibri" w:eastAsia="Batang" w:hAnsi="Calibri" w:cs="Times New Roman"/>
          <w:szCs w:val="24"/>
        </w:rPr>
      </w:pPr>
      <w:r>
        <w:rPr>
          <w:rFonts w:ascii="Calibri" w:eastAsia="Batang" w:hAnsi="Calibri" w:cs="Times New Roman"/>
          <w:b/>
          <w:szCs w:val="24"/>
        </w:rPr>
        <w:br w:type="page"/>
      </w:r>
    </w:p>
    <w:p w14:paraId="7DB547AA" w14:textId="77777777" w:rsidR="002E437C" w:rsidRDefault="002E437C" w:rsidP="002E437C">
      <w:pPr>
        <w:pStyle w:val="Style1"/>
        <w:rPr>
          <w:rFonts w:eastAsia="Batang"/>
        </w:rPr>
      </w:pPr>
      <w:bookmarkStart w:id="177" w:name="_Toc129784761"/>
      <w:r>
        <w:rPr>
          <w:rFonts w:eastAsia="Batang"/>
        </w:rPr>
        <w:lastRenderedPageBreak/>
        <w:t>Les réseaux</w:t>
      </w:r>
      <w:bookmarkEnd w:id="177"/>
    </w:p>
    <w:p w14:paraId="64CC941E" w14:textId="77777777" w:rsidR="002E437C" w:rsidRPr="00BC5E1D" w:rsidRDefault="002E437C" w:rsidP="002E437C">
      <w:pPr>
        <w:rPr>
          <w:rFonts w:ascii="Myriad Pro" w:hAnsi="Myriad Pro"/>
          <w:sz w:val="24"/>
        </w:rPr>
      </w:pPr>
      <w:r>
        <w:t>Le territoire de la CC de la Haute Vallée de Chevreuse est desservi par les réseaux de transport d’électricité gérés par RTE et ceux de gaz gérés par GRTgaz. La distribution aux particuliers est ensuite gérée par Enedis pour l’électricité et GRDF pour le gaz.</w:t>
      </w:r>
      <w:r>
        <w:tab/>
      </w:r>
    </w:p>
    <w:p w14:paraId="175B238F" w14:textId="77777777" w:rsidR="002E437C" w:rsidRPr="009E2616" w:rsidRDefault="002E437C" w:rsidP="008A0F26">
      <w:pPr>
        <w:pStyle w:val="Paragraphedeliste"/>
        <w:numPr>
          <w:ilvl w:val="1"/>
          <w:numId w:val="4"/>
        </w:numPr>
        <w:spacing w:before="240" w:after="240"/>
        <w:contextualSpacing w:val="0"/>
        <w:jc w:val="left"/>
        <w:outlineLvl w:val="1"/>
        <w:rPr>
          <w:rFonts w:ascii="Century Gothic" w:eastAsia="Calibri" w:hAnsi="Century Gothic"/>
          <w:vanish/>
          <w:color w:val="96C01E" w:themeColor="accent3"/>
          <w:spacing w:val="20"/>
          <w:sz w:val="32"/>
          <w:szCs w:val="36"/>
        </w:rPr>
      </w:pPr>
      <w:bookmarkStart w:id="178" w:name="_Toc126100599"/>
      <w:bookmarkStart w:id="179" w:name="_Toc127369064"/>
      <w:bookmarkStart w:id="180" w:name="_Toc127370124"/>
      <w:bookmarkStart w:id="181" w:name="_Toc129784666"/>
      <w:bookmarkStart w:id="182" w:name="_Toc129784762"/>
      <w:bookmarkEnd w:id="178"/>
      <w:bookmarkEnd w:id="179"/>
      <w:bookmarkEnd w:id="180"/>
      <w:bookmarkEnd w:id="181"/>
      <w:bookmarkEnd w:id="182"/>
    </w:p>
    <w:p w14:paraId="1E6FE491" w14:textId="77777777" w:rsidR="002E437C" w:rsidRPr="009E2616" w:rsidRDefault="002E437C" w:rsidP="008A0F26">
      <w:pPr>
        <w:pStyle w:val="Titre2"/>
        <w:ind w:left="1996" w:hanging="578"/>
      </w:pPr>
      <w:bookmarkStart w:id="183" w:name="_Toc129784763"/>
      <w:r w:rsidRPr="009E2616">
        <w:t>Réseau d’électricité</w:t>
      </w:r>
      <w:bookmarkEnd w:id="183"/>
    </w:p>
    <w:p w14:paraId="45A04A52" w14:textId="77777777" w:rsidR="002E437C" w:rsidRDefault="002E437C" w:rsidP="002E437C">
      <w:r>
        <w:t>En termes de réseau de distribution électrique, la CC Haute Vallée de Chevreuse dispose d’un bon maillage de distribution. Néanmoins, elle ne dispose pas de postes sources identifiés sur le territoire.</w:t>
      </w:r>
    </w:p>
    <w:p w14:paraId="63935E93" w14:textId="489DB9E6" w:rsidR="002E437C" w:rsidRDefault="002E437C" w:rsidP="002E437C">
      <w:r>
        <w:t xml:space="preserve">Les postes </w:t>
      </w:r>
      <w:proofErr w:type="gramStart"/>
      <w:r>
        <w:t>sources</w:t>
      </w:r>
      <w:proofErr w:type="gramEnd"/>
      <w:r>
        <w:t xml:space="preserve"> les plus proches sont un peu éloignés ce qui pourrait être contraignant en cas de raccordement de gros projets </w:t>
      </w:r>
      <w:proofErr w:type="spellStart"/>
      <w:r>
        <w:t>EnR</w:t>
      </w:r>
      <w:proofErr w:type="spellEnd"/>
      <w:r>
        <w:t xml:space="preserve">. </w:t>
      </w:r>
    </w:p>
    <w:p w14:paraId="27A02477" w14:textId="77777777" w:rsidR="002E437C" w:rsidRDefault="002E437C" w:rsidP="002E437C">
      <w:r>
        <w:t xml:space="preserve">Le Schéma Régional de Raccordement aux Réseaux des Energies Renouvelables (S3REnR) réserve peu de </w:t>
      </w:r>
      <w:proofErr w:type="gramStart"/>
      <w:r>
        <w:t>capacité</w:t>
      </w:r>
      <w:proofErr w:type="gramEnd"/>
      <w:r>
        <w:t xml:space="preserve"> d’accueil aux installations </w:t>
      </w:r>
      <w:proofErr w:type="spellStart"/>
      <w:r>
        <w:t>EnR</w:t>
      </w:r>
      <w:proofErr w:type="spellEnd"/>
      <w:r>
        <w:t xml:space="preserve"> mais il existe des capacités d’accueil importantes en injection pour de nombreux petits projets </w:t>
      </w:r>
      <w:proofErr w:type="spellStart"/>
      <w:r>
        <w:t>EnR</w:t>
      </w:r>
      <w:proofErr w:type="spellEnd"/>
      <w:r>
        <w:t xml:space="preserve"> tant au niveau du réseau de distribution que du réseau de transport.</w:t>
      </w:r>
    </w:p>
    <w:p w14:paraId="45A3B4C2" w14:textId="77777777" w:rsidR="002E437C" w:rsidRDefault="002E437C" w:rsidP="002E437C"/>
    <w:p w14:paraId="5A8BE9AD" w14:textId="77777777" w:rsidR="00BA2D9B" w:rsidRDefault="002E437C" w:rsidP="00BA2D9B">
      <w:pPr>
        <w:keepNext/>
        <w:jc w:val="center"/>
      </w:pPr>
      <w:r>
        <w:rPr>
          <w:noProof/>
        </w:rPr>
        <w:drawing>
          <wp:inline distT="0" distB="0" distL="0" distR="0" wp14:anchorId="4E5C40C6" wp14:editId="442DCBC3">
            <wp:extent cx="4589902" cy="3253740"/>
            <wp:effectExtent l="0" t="0" r="1270" b="3810"/>
            <wp:docPr id="7172" name="Image 6" descr="Une image contenant carte&#10;&#10;Description générée automatiquement">
              <a:extLst xmlns:a="http://schemas.openxmlformats.org/drawingml/2006/main">
                <a:ext uri="{FF2B5EF4-FFF2-40B4-BE49-F238E27FC236}">
                  <a16:creationId xmlns:a16="http://schemas.microsoft.com/office/drawing/2014/main" id="{5176F1F0-7960-FF7D-9BD1-730E3759E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Image 6" descr="Une image contenant carte&#10;&#10;Description générée automatiquement">
                      <a:extLst>
                        <a:ext uri="{FF2B5EF4-FFF2-40B4-BE49-F238E27FC236}">
                          <a16:creationId xmlns:a16="http://schemas.microsoft.com/office/drawing/2014/main" id="{5176F1F0-7960-FF7D-9BD1-730E3759E729}"/>
                        </a:ext>
                      </a:extLst>
                    </pic:cNvPr>
                    <pic:cNvPicPr>
                      <a:picLocks noChangeAspect="1"/>
                    </pic:cNvPicPr>
                  </pic:nvPicPr>
                  <pic:blipFill>
                    <a:blip r:embed="rId62"/>
                    <a:stretch>
                      <a:fillRect/>
                    </a:stretch>
                  </pic:blipFill>
                  <pic:spPr>
                    <a:xfrm>
                      <a:off x="0" y="0"/>
                      <a:ext cx="4595844" cy="3257952"/>
                    </a:xfrm>
                    <a:prstGeom prst="rect">
                      <a:avLst/>
                    </a:prstGeom>
                  </pic:spPr>
                </pic:pic>
              </a:graphicData>
            </a:graphic>
          </wp:inline>
        </w:drawing>
      </w:r>
    </w:p>
    <w:p w14:paraId="0851FEE5" w14:textId="6F174DD6" w:rsidR="002E437C" w:rsidRDefault="00BA2D9B" w:rsidP="00BA2D9B">
      <w:pPr>
        <w:pStyle w:val="Lgende"/>
        <w:jc w:val="center"/>
      </w:pPr>
      <w:bookmarkStart w:id="184" w:name="_Toc129786594"/>
      <w:r>
        <w:t xml:space="preserve">Figure </w:t>
      </w:r>
      <w:r w:rsidR="00D56558">
        <w:fldChar w:fldCharType="begin"/>
      </w:r>
      <w:r w:rsidR="00D56558">
        <w:instrText xml:space="preserve"> SEQ Figure \* ARABIC </w:instrText>
      </w:r>
      <w:r w:rsidR="00D56558">
        <w:fldChar w:fldCharType="separate"/>
      </w:r>
      <w:r>
        <w:rPr>
          <w:noProof/>
        </w:rPr>
        <w:t>39</w:t>
      </w:r>
      <w:r w:rsidR="00D56558">
        <w:rPr>
          <w:noProof/>
        </w:rPr>
        <w:fldChar w:fldCharType="end"/>
      </w:r>
      <w:bookmarkStart w:id="185" w:name="_Toc126096855"/>
      <w:r>
        <w:t xml:space="preserve"> </w:t>
      </w:r>
      <w:r w:rsidR="002E437C">
        <w:t>: Tracé du réseau de transport et de distribution d’électricité</w:t>
      </w:r>
      <w:bookmarkEnd w:id="185"/>
      <w:bookmarkEnd w:id="184"/>
    </w:p>
    <w:p w14:paraId="4CAC4439" w14:textId="77777777" w:rsidR="002E437C" w:rsidRPr="00907BE7" w:rsidRDefault="002E437C" w:rsidP="00907BE7">
      <w:pPr>
        <w:pStyle w:val="Lgende"/>
        <w:jc w:val="center"/>
        <w:rPr>
          <w:b w:val="0"/>
          <w:bCs w:val="0"/>
          <w:i/>
          <w:iCs/>
          <w:color w:val="auto"/>
        </w:rPr>
      </w:pPr>
      <w:r w:rsidRPr="00907BE7">
        <w:rPr>
          <w:b w:val="0"/>
          <w:bCs w:val="0"/>
          <w:i/>
          <w:iCs/>
          <w:color w:val="auto"/>
        </w:rPr>
        <w:t>Source : ORÉ</w:t>
      </w:r>
    </w:p>
    <w:p w14:paraId="07C21EEB" w14:textId="77777777" w:rsidR="002E437C" w:rsidRPr="00BC5E1D" w:rsidRDefault="002E437C" w:rsidP="002E437C">
      <w:pPr>
        <w:rPr>
          <w:rFonts w:ascii="Myriad Pro" w:hAnsi="Myriad Pro"/>
          <w:sz w:val="24"/>
        </w:rPr>
      </w:pPr>
    </w:p>
    <w:p w14:paraId="3D28D98A" w14:textId="77777777" w:rsidR="002E437C" w:rsidRPr="009E2616" w:rsidRDefault="002E437C" w:rsidP="008A0F26">
      <w:pPr>
        <w:pStyle w:val="Titre2"/>
        <w:ind w:left="1996" w:hanging="578"/>
      </w:pPr>
      <w:bookmarkStart w:id="186" w:name="_Toc129784764"/>
      <w:r w:rsidRPr="009E2616">
        <w:t>Réseau de gaz</w:t>
      </w:r>
      <w:bookmarkEnd w:id="186"/>
      <w:r w:rsidRPr="009E2616">
        <w:tab/>
      </w:r>
    </w:p>
    <w:p w14:paraId="632E5780" w14:textId="77777777" w:rsidR="002E437C" w:rsidRDefault="002E437C" w:rsidP="002E437C">
      <w:r>
        <w:t xml:space="preserve">La figure ci-dessous présente le tracé du réseau de transport et de distribution du gaz sur le territoire. </w:t>
      </w:r>
    </w:p>
    <w:p w14:paraId="03DFB793" w14:textId="77777777" w:rsidR="002E437C" w:rsidRDefault="002E437C" w:rsidP="002E437C">
      <w:r>
        <w:t>Ce réseau traverse le territoire et alimente la majorité des communes à l’exception des communes de Choisel et Milon-la-Chapelle qui ne sont pas raccordées</w:t>
      </w:r>
      <w:r w:rsidRPr="00400715">
        <w:t xml:space="preserve"> </w:t>
      </w:r>
      <w:r>
        <w:t xml:space="preserve">au réseau de transport. La présence de ce réseau sur le territoire pourra permettre le raccordement d’éventuels projets de méthanisation en injection. </w:t>
      </w:r>
    </w:p>
    <w:p w14:paraId="38922F5C" w14:textId="77777777" w:rsidR="002E437C" w:rsidRDefault="002E437C" w:rsidP="002E437C"/>
    <w:p w14:paraId="5058FB0C" w14:textId="7E9DD846" w:rsidR="002E437C" w:rsidRDefault="002E437C" w:rsidP="002E437C">
      <w:r>
        <w:lastRenderedPageBreak/>
        <w:t>Des coûts de de raccordement seront néanmoins à prévoir et devraient être compris entre 3 400 et 4 700 €/Nm3/h selon les données fournies par GRTgaz</w:t>
      </w:r>
      <w:r>
        <w:rPr>
          <w:rStyle w:val="Appelnotedebasdep"/>
        </w:rPr>
        <w:footnoteReference w:id="7"/>
      </w:r>
      <w:r>
        <w:t>.</w:t>
      </w:r>
    </w:p>
    <w:p w14:paraId="27082DEB" w14:textId="77777777" w:rsidR="00BA2D9B" w:rsidRDefault="002E437C" w:rsidP="00BA2D9B">
      <w:pPr>
        <w:keepNext/>
        <w:jc w:val="center"/>
      </w:pPr>
      <w:r>
        <w:rPr>
          <w:noProof/>
        </w:rPr>
        <w:drawing>
          <wp:inline distT="0" distB="0" distL="0" distR="0" wp14:anchorId="2BEEDDE5" wp14:editId="05C35CCE">
            <wp:extent cx="5587092" cy="3949517"/>
            <wp:effectExtent l="0" t="0" r="0" b="0"/>
            <wp:docPr id="43" name="Image 4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cart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25697" cy="3976807"/>
                    </a:xfrm>
                    <a:prstGeom prst="rect">
                      <a:avLst/>
                    </a:prstGeom>
                  </pic:spPr>
                </pic:pic>
              </a:graphicData>
            </a:graphic>
          </wp:inline>
        </w:drawing>
      </w:r>
    </w:p>
    <w:p w14:paraId="2756A14A" w14:textId="3FA2D209" w:rsidR="002E437C" w:rsidRDefault="00BA2D9B" w:rsidP="00BA2D9B">
      <w:pPr>
        <w:pStyle w:val="Lgende"/>
        <w:jc w:val="center"/>
      </w:pPr>
      <w:bookmarkStart w:id="187" w:name="_Toc129786595"/>
      <w:r>
        <w:t xml:space="preserve">Figure </w:t>
      </w:r>
      <w:r w:rsidR="00D56558">
        <w:fldChar w:fldCharType="begin"/>
      </w:r>
      <w:r w:rsidR="00D56558">
        <w:instrText xml:space="preserve"> SEQ Figure \* ARABIC </w:instrText>
      </w:r>
      <w:r w:rsidR="00D56558">
        <w:fldChar w:fldCharType="separate"/>
      </w:r>
      <w:r>
        <w:rPr>
          <w:noProof/>
        </w:rPr>
        <w:t>40</w:t>
      </w:r>
      <w:r w:rsidR="00D56558">
        <w:rPr>
          <w:noProof/>
        </w:rPr>
        <w:fldChar w:fldCharType="end"/>
      </w:r>
      <w:bookmarkStart w:id="188" w:name="_Toc126096856"/>
      <w:r>
        <w:t xml:space="preserve"> </w:t>
      </w:r>
      <w:r w:rsidR="002E437C">
        <w:t>: Tracé du réseau de transport et de distribution de gaz naturel sur le territoire</w:t>
      </w:r>
      <w:bookmarkEnd w:id="188"/>
      <w:bookmarkEnd w:id="187"/>
    </w:p>
    <w:p w14:paraId="41765572" w14:textId="77777777" w:rsidR="002E437C" w:rsidRPr="00907BE7" w:rsidRDefault="002E437C" w:rsidP="00907BE7">
      <w:pPr>
        <w:pStyle w:val="Lgende"/>
        <w:jc w:val="center"/>
        <w:rPr>
          <w:b w:val="0"/>
          <w:bCs w:val="0"/>
          <w:i/>
          <w:iCs/>
          <w:color w:val="auto"/>
        </w:rPr>
      </w:pPr>
      <w:r w:rsidRPr="00907BE7">
        <w:rPr>
          <w:b w:val="0"/>
          <w:bCs w:val="0"/>
          <w:i/>
          <w:iCs/>
          <w:color w:val="auto"/>
        </w:rPr>
        <w:t>Source : GRDF</w:t>
      </w:r>
    </w:p>
    <w:p w14:paraId="73B8D947" w14:textId="77777777" w:rsidR="002E437C" w:rsidRPr="00BC5E1D" w:rsidRDefault="002E437C" w:rsidP="002E437C">
      <w:pPr>
        <w:rPr>
          <w:rFonts w:ascii="Myriad Pro" w:hAnsi="Myriad Pro"/>
          <w:sz w:val="24"/>
        </w:rPr>
      </w:pPr>
    </w:p>
    <w:p w14:paraId="15747FAB" w14:textId="77777777" w:rsidR="002E437C" w:rsidRPr="009E2616" w:rsidRDefault="002E437C" w:rsidP="008A0F26">
      <w:pPr>
        <w:pStyle w:val="Titre2"/>
        <w:ind w:left="1996" w:hanging="578"/>
      </w:pPr>
      <w:bookmarkStart w:id="189" w:name="_Toc129784765"/>
      <w:r w:rsidRPr="009E2616">
        <w:t>Réseaux de chaleur</w:t>
      </w:r>
      <w:bookmarkEnd w:id="189"/>
      <w:r w:rsidRPr="009E2616">
        <w:t xml:space="preserve"> </w:t>
      </w:r>
    </w:p>
    <w:p w14:paraId="4357A05C" w14:textId="53FCF93A" w:rsidR="002E437C" w:rsidRDefault="002E437C" w:rsidP="002E437C">
      <w:pPr>
        <w:textAlignment w:val="center"/>
      </w:pPr>
      <w:r w:rsidRPr="006A4826">
        <w:t xml:space="preserve">L’identification des réseaux de chaleur sur un territoire est réalisée </w:t>
      </w:r>
      <w:r>
        <w:t>grâce à</w:t>
      </w:r>
      <w:r w:rsidRPr="006A4826">
        <w:t xml:space="preserve"> la prise en compte des besoins en chaleur exprimés en densité linéique (MWh/ml/an)</w:t>
      </w:r>
      <w:r>
        <w:t xml:space="preserve">. Ces éléments sont </w:t>
      </w:r>
      <w:r w:rsidRPr="006A4826">
        <w:t>fournis par l'observatoire d’Ile-de-</w:t>
      </w:r>
      <w:r>
        <w:t>France (ROSE)</w:t>
      </w:r>
      <w:r w:rsidRPr="006A4826">
        <w:t>. Selon l’ADEME, l’installation d’un réseau de chaleur peut se justifier dès</w:t>
      </w:r>
      <w:r>
        <w:t xml:space="preserve"> lors que la densité linéique atteint</w:t>
      </w:r>
      <w:r w:rsidRPr="006A4826">
        <w:t xml:space="preserve"> 1,5 MWh/ml/an.</w:t>
      </w:r>
    </w:p>
    <w:p w14:paraId="13AFB2A1" w14:textId="77777777" w:rsidR="002E437C" w:rsidRPr="00B62045" w:rsidRDefault="002E437C" w:rsidP="002E437C">
      <w:pPr>
        <w:textAlignment w:val="center"/>
      </w:pPr>
      <w:r>
        <w:t>Sur le territoire de la CC Haute Vallée de Chevreuse</w:t>
      </w:r>
      <w:r w:rsidRPr="00B62045">
        <w:t xml:space="preserve">, il existe un potentiel de développement </w:t>
      </w:r>
      <w:r>
        <w:t xml:space="preserve">de réseaux de chaleur </w:t>
      </w:r>
      <w:r w:rsidRPr="00B62045">
        <w:t>intéressant.</w:t>
      </w:r>
      <w:r>
        <w:t xml:space="preserve"> </w:t>
      </w:r>
      <w:r w:rsidRPr="00B62045">
        <w:t xml:space="preserve">Les principales zones identifiées sont représentées dans la cartographie suivante. </w:t>
      </w:r>
    </w:p>
    <w:p w14:paraId="56648FB9" w14:textId="77777777" w:rsidR="002E437C" w:rsidRDefault="002E437C" w:rsidP="002E437C">
      <w:pPr>
        <w:textAlignment w:val="center"/>
        <w:rPr>
          <w:rFonts w:eastAsia="Times New Roman" w:cs="Calibri"/>
          <w:shd w:val="clear" w:color="auto" w:fill="FFFF99"/>
        </w:rPr>
      </w:pPr>
    </w:p>
    <w:p w14:paraId="07CADCA0" w14:textId="77777777" w:rsidR="00BA2D9B" w:rsidRDefault="002E437C" w:rsidP="00BA2D9B">
      <w:pPr>
        <w:keepNext/>
        <w:jc w:val="center"/>
        <w:textAlignment w:val="center"/>
      </w:pPr>
      <w:r w:rsidRPr="005D3CD6">
        <w:rPr>
          <w:rFonts w:eastAsia="Times New Roman" w:cs="Calibri"/>
          <w:noProof/>
          <w:shd w:val="clear" w:color="auto" w:fill="FFFF99"/>
        </w:rPr>
        <w:lastRenderedPageBreak/>
        <w:drawing>
          <wp:inline distT="0" distB="0" distL="0" distR="0" wp14:anchorId="32CC10AC" wp14:editId="59A8550C">
            <wp:extent cx="5760720" cy="4086225"/>
            <wp:effectExtent l="0" t="0" r="0" b="9525"/>
            <wp:docPr id="8" name="Image 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carte&#10;&#10;Description générée automatiquement"/>
                    <pic:cNvPicPr/>
                  </pic:nvPicPr>
                  <pic:blipFill>
                    <a:blip r:embed="rId64"/>
                    <a:stretch>
                      <a:fillRect/>
                    </a:stretch>
                  </pic:blipFill>
                  <pic:spPr>
                    <a:xfrm>
                      <a:off x="0" y="0"/>
                      <a:ext cx="5760720" cy="4086225"/>
                    </a:xfrm>
                    <a:prstGeom prst="rect">
                      <a:avLst/>
                    </a:prstGeom>
                  </pic:spPr>
                </pic:pic>
              </a:graphicData>
            </a:graphic>
          </wp:inline>
        </w:drawing>
      </w:r>
    </w:p>
    <w:p w14:paraId="4133D6E5" w14:textId="2E618F5B" w:rsidR="002E437C" w:rsidRPr="006D0ECA" w:rsidRDefault="00BA2D9B" w:rsidP="00BA2D9B">
      <w:pPr>
        <w:pStyle w:val="Lgende"/>
        <w:jc w:val="center"/>
        <w:rPr>
          <w:rFonts w:eastAsia="Times New Roman" w:cs="Calibri"/>
          <w:shd w:val="clear" w:color="auto" w:fill="FFFF99"/>
        </w:rPr>
      </w:pPr>
      <w:bookmarkStart w:id="190" w:name="_Toc129786596"/>
      <w:r>
        <w:t xml:space="preserve">Figure </w:t>
      </w:r>
      <w:r w:rsidR="00D56558" w:rsidRPr="006D0ECA">
        <w:fldChar w:fldCharType="begin"/>
      </w:r>
      <w:r w:rsidR="00D56558" w:rsidRPr="006D0ECA">
        <w:instrText xml:space="preserve"> SEQ Figure \* ARABIC </w:instrText>
      </w:r>
      <w:r w:rsidR="00D56558" w:rsidRPr="006D0ECA">
        <w:fldChar w:fldCharType="separate"/>
      </w:r>
      <w:r w:rsidRPr="006D0ECA">
        <w:rPr>
          <w:noProof/>
        </w:rPr>
        <w:t>41</w:t>
      </w:r>
      <w:r w:rsidR="00D56558" w:rsidRPr="006D0ECA">
        <w:rPr>
          <w:noProof/>
        </w:rPr>
        <w:fldChar w:fldCharType="end"/>
      </w:r>
      <w:bookmarkStart w:id="191" w:name="_Toc126096857"/>
      <w:r w:rsidRPr="006D0ECA">
        <w:rPr>
          <w:rFonts w:eastAsia="Times New Roman" w:cs="Calibri"/>
          <w:shd w:val="clear" w:color="auto" w:fill="FFFF99"/>
        </w:rPr>
        <w:t xml:space="preserve"> </w:t>
      </w:r>
      <w:r w:rsidR="002E437C" w:rsidRPr="006D0ECA">
        <w:t>: Tracé du réseau de transport et de distribution de gaz naturel sur le territoire</w:t>
      </w:r>
      <w:bookmarkEnd w:id="191"/>
      <w:bookmarkEnd w:id="190"/>
    </w:p>
    <w:p w14:paraId="7CC7E9A0" w14:textId="77777777" w:rsidR="002E437C" w:rsidRPr="00907BE7" w:rsidRDefault="002E437C" w:rsidP="00907BE7">
      <w:pPr>
        <w:pStyle w:val="Lgende"/>
        <w:jc w:val="center"/>
        <w:rPr>
          <w:b w:val="0"/>
          <w:bCs w:val="0"/>
          <w:i/>
          <w:iCs/>
          <w:color w:val="auto"/>
        </w:rPr>
      </w:pPr>
      <w:r w:rsidRPr="006D0ECA">
        <w:rPr>
          <w:b w:val="0"/>
          <w:bCs w:val="0"/>
          <w:i/>
          <w:iCs/>
          <w:color w:val="auto"/>
        </w:rPr>
        <w:t>Source</w:t>
      </w:r>
      <w:r w:rsidRPr="00907BE7">
        <w:rPr>
          <w:b w:val="0"/>
          <w:bCs w:val="0"/>
          <w:i/>
          <w:iCs/>
          <w:color w:val="auto"/>
        </w:rPr>
        <w:t xml:space="preserve"> : ROSE Ile-de-France – Traitement </w:t>
      </w:r>
      <w:proofErr w:type="spellStart"/>
      <w:r w:rsidRPr="00907BE7">
        <w:rPr>
          <w:b w:val="0"/>
          <w:bCs w:val="0"/>
          <w:i/>
          <w:iCs/>
          <w:color w:val="auto"/>
        </w:rPr>
        <w:t>Akajoule</w:t>
      </w:r>
      <w:proofErr w:type="spellEnd"/>
    </w:p>
    <w:p w14:paraId="5D00BB6E" w14:textId="77777777" w:rsidR="002E437C" w:rsidRDefault="002E437C" w:rsidP="00CC02E9">
      <w:pPr>
        <w:textAlignment w:val="center"/>
        <w:rPr>
          <w:rFonts w:eastAsia="Times New Roman" w:cs="Calibri"/>
          <w:shd w:val="clear" w:color="auto" w:fill="FFFF99"/>
        </w:rPr>
      </w:pPr>
    </w:p>
    <w:p w14:paraId="00234A20" w14:textId="18DF6D84" w:rsidR="002E437C" w:rsidRPr="00F16BFD" w:rsidRDefault="002E437C" w:rsidP="008A0F26">
      <w:pPr>
        <w:pStyle w:val="Paragraphedeliste"/>
        <w:numPr>
          <w:ilvl w:val="0"/>
          <w:numId w:val="3"/>
        </w:numPr>
        <w:spacing w:after="200" w:line="276" w:lineRule="auto"/>
        <w:textAlignment w:val="center"/>
      </w:pPr>
      <w:r w:rsidRPr="00F16BFD">
        <w:t>Commune de Chevreuse : un ou plusieurs petits réseaux de chaleur pourraient être développés afin de desservir un hôpital de gérontologie, une piscine, un collège, une fonderie ainsi qu’une école.</w:t>
      </w:r>
      <w:r w:rsidR="007748F3">
        <w:t xml:space="preserve"> La chaleur produite par la fonderie pourrait éventuellement servir à alimenter le réseau ce de chaleur.</w:t>
      </w:r>
    </w:p>
    <w:p w14:paraId="64DF54F6" w14:textId="77777777" w:rsidR="002E437C" w:rsidRPr="00F16BFD" w:rsidRDefault="002E437C" w:rsidP="008A0F26">
      <w:pPr>
        <w:pStyle w:val="Paragraphedeliste"/>
        <w:numPr>
          <w:ilvl w:val="0"/>
          <w:numId w:val="3"/>
        </w:numPr>
        <w:spacing w:after="200" w:line="276" w:lineRule="auto"/>
        <w:textAlignment w:val="center"/>
      </w:pPr>
      <w:r w:rsidRPr="00F16BFD">
        <w:t>Saint-Rémy-lès-Chevreuse (zone sud) : Possible mutualisation de chaleur à envisager pour deux écoles et un complexe sportif. Une continuité pourrait être étudiée entre les réseaux de chaleur de Chevreuse et de Saint-Rémy-lès-Chevreuse.</w:t>
      </w:r>
    </w:p>
    <w:p w14:paraId="66CB4911" w14:textId="77777777" w:rsidR="002E437C" w:rsidRPr="00F16BFD" w:rsidRDefault="002E437C" w:rsidP="008A0F26">
      <w:pPr>
        <w:pStyle w:val="Paragraphedeliste"/>
        <w:numPr>
          <w:ilvl w:val="0"/>
          <w:numId w:val="3"/>
        </w:numPr>
        <w:spacing w:after="200" w:line="276" w:lineRule="auto"/>
        <w:textAlignment w:val="center"/>
      </w:pPr>
      <w:r w:rsidRPr="00F16BFD">
        <w:t xml:space="preserve">Saint-Rémy-lès-Chevreuse (zone nord) : </w:t>
      </w:r>
      <w:r w:rsidRPr="00F16BFD">
        <w:tab/>
      </w:r>
    </w:p>
    <w:p w14:paraId="1FBF0864" w14:textId="77777777" w:rsidR="002E437C" w:rsidRPr="00F16BFD" w:rsidRDefault="002E437C" w:rsidP="008A0F26">
      <w:pPr>
        <w:pStyle w:val="Paragraphedeliste"/>
        <w:numPr>
          <w:ilvl w:val="1"/>
          <w:numId w:val="3"/>
        </w:numPr>
        <w:spacing w:after="200" w:line="276" w:lineRule="auto"/>
        <w:textAlignment w:val="center"/>
      </w:pPr>
      <w:r w:rsidRPr="00F16BFD">
        <w:t xml:space="preserve">Au regard du dénivelé existant entre les zones sud et nord de Saint-Rémy-lès-Chevreuse, il n’est pas possible d’envisager de continuité entre ces deux réseaux de chaleur.  </w:t>
      </w:r>
    </w:p>
    <w:p w14:paraId="7EB1976D" w14:textId="77777777" w:rsidR="002E437C" w:rsidRPr="00F16BFD" w:rsidRDefault="002E437C" w:rsidP="008A0F26">
      <w:pPr>
        <w:pStyle w:val="Paragraphedeliste"/>
        <w:numPr>
          <w:ilvl w:val="1"/>
          <w:numId w:val="3"/>
        </w:numPr>
        <w:spacing w:after="200" w:line="276" w:lineRule="auto"/>
        <w:textAlignment w:val="center"/>
      </w:pPr>
      <w:r w:rsidRPr="00F16BFD">
        <w:t>Un réseau de chaleur pourrait être envisagé afin de raccorder une maison retraite et une clinique.</w:t>
      </w:r>
    </w:p>
    <w:p w14:paraId="7E0B2C27" w14:textId="5EE703BE" w:rsidR="002E437C" w:rsidRPr="00F16BFD" w:rsidRDefault="002E437C" w:rsidP="008A0F26">
      <w:pPr>
        <w:pStyle w:val="Paragraphedeliste"/>
        <w:numPr>
          <w:ilvl w:val="1"/>
          <w:numId w:val="3"/>
        </w:numPr>
        <w:spacing w:after="200" w:line="276" w:lineRule="auto"/>
        <w:textAlignment w:val="center"/>
      </w:pPr>
      <w:r w:rsidRPr="00F16BFD">
        <w:t xml:space="preserve">Une continuité de ce réseau en direction de Magny-Les-Hameaux pourrait être étudiée afin de desservir le quartier de </w:t>
      </w:r>
      <w:proofErr w:type="spellStart"/>
      <w:r w:rsidRPr="00F16BFD">
        <w:t>Beauplan</w:t>
      </w:r>
      <w:proofErr w:type="spellEnd"/>
      <w:r w:rsidRPr="00F16BFD">
        <w:t xml:space="preserve"> (maison de retraite, école, gymnase, centre </w:t>
      </w:r>
      <w:proofErr w:type="spellStart"/>
      <w:r w:rsidRPr="00F16BFD">
        <w:t>Gaztransport</w:t>
      </w:r>
      <w:proofErr w:type="spellEnd"/>
      <w:r w:rsidRPr="00F16BFD">
        <w:t xml:space="preserve"> et </w:t>
      </w:r>
      <w:proofErr w:type="spellStart"/>
      <w:r w:rsidRPr="00F16BFD">
        <w:t>Technigaz</w:t>
      </w:r>
      <w:proofErr w:type="spellEnd"/>
      <w:r w:rsidRPr="00F16BFD">
        <w:t xml:space="preserve"> et quelques logements collectifs). Actuellement, les communes de Magny-les-Hameaux et de Saint-Rémy-lès-Chevreuse sont en relation pour étudier la faisabilité d’un réseau de chaleur mutualisé sur </w:t>
      </w:r>
      <w:r w:rsidR="00EF0CFD" w:rsidRPr="00F16BFD">
        <w:t>leurs deux communes</w:t>
      </w:r>
      <w:r w:rsidRPr="00F16BFD">
        <w:t>. Ce réseau de chaleur urbain pourrait être réalisé si l’</w:t>
      </w:r>
      <w:proofErr w:type="spellStart"/>
      <w:r w:rsidRPr="00F16BFD">
        <w:t>exédent</w:t>
      </w:r>
      <w:proofErr w:type="spellEnd"/>
      <w:r w:rsidRPr="00F16BFD">
        <w:t xml:space="preserve"> de chaleur produite par le </w:t>
      </w:r>
      <w:proofErr w:type="spellStart"/>
      <w:r w:rsidRPr="00F16BFD">
        <w:t>data-center</w:t>
      </w:r>
      <w:proofErr w:type="spellEnd"/>
      <w:r w:rsidRPr="00F16BFD">
        <w:t xml:space="preserve"> de Magny-Les-Hameaux permettait l’</w:t>
      </w:r>
      <w:r w:rsidR="00EF0CFD" w:rsidRPr="00F16BFD">
        <w:t>alimentation</w:t>
      </w:r>
      <w:r w:rsidRPr="00F16BFD">
        <w:t xml:space="preserve"> du quartier de </w:t>
      </w:r>
      <w:proofErr w:type="spellStart"/>
      <w:r w:rsidRPr="00F16BFD">
        <w:t>Beauplan</w:t>
      </w:r>
      <w:proofErr w:type="spellEnd"/>
      <w:r w:rsidRPr="00F16BFD">
        <w:t>.</w:t>
      </w:r>
      <w:r w:rsidRPr="00F16BFD">
        <w:tab/>
      </w:r>
    </w:p>
    <w:p w14:paraId="0DA9C23E" w14:textId="77777777" w:rsidR="002E437C" w:rsidRPr="00F16BFD" w:rsidRDefault="002E437C" w:rsidP="008A0F26">
      <w:pPr>
        <w:pStyle w:val="Paragraphedeliste"/>
        <w:numPr>
          <w:ilvl w:val="0"/>
          <w:numId w:val="3"/>
        </w:numPr>
        <w:spacing w:after="200" w:line="276" w:lineRule="auto"/>
        <w:textAlignment w:val="center"/>
      </w:pPr>
      <w:r w:rsidRPr="00F16BFD">
        <w:t>Mesnil-Saint-Denis : Il pourrait être pertinent d’étudier la faisabilité du déploiement d’un réseau de chaleur en direction des communes voisines (La Verrière, Maurepas).</w:t>
      </w:r>
    </w:p>
    <w:p w14:paraId="014A34CC" w14:textId="2AF214BE" w:rsidR="002E437C" w:rsidRDefault="002E437C" w:rsidP="00CC02E9">
      <w:pPr>
        <w:textAlignment w:val="center"/>
      </w:pPr>
      <w:r>
        <w:lastRenderedPageBreak/>
        <w:t>Les possibilités évoquées ci-dessus représentent les principaux réseaux de chaleur identifiés sur le territoire d’étude. D’autres réseaux de chaleur pourraient être envisagés dès lors que deux bâtiments nécessitant des besoins de chauffage sont situés à proximité (possibilité de mutualisation de chauffage entre une mairie et une école voisine).</w:t>
      </w:r>
    </w:p>
    <w:p w14:paraId="7F0DA229" w14:textId="24127B5E" w:rsidR="002E437C" w:rsidRDefault="002E437C" w:rsidP="00CC02E9">
      <w:pPr>
        <w:textAlignment w:val="center"/>
      </w:pPr>
      <w:r>
        <w:t xml:space="preserve">Afin de vérifier la faisabilité technique et la source d’alimentation possible pour chaque installation, la collectivité devra réaliser des études de faisabilité pour chaque projet identifié. Ces études sont en partie financées par des aides ADEME.  </w:t>
      </w:r>
    </w:p>
    <w:p w14:paraId="2ABF5B86" w14:textId="77777777" w:rsidR="002E437C" w:rsidRDefault="002E437C" w:rsidP="00CC02E9">
      <w:pPr>
        <w:textAlignment w:val="center"/>
      </w:pPr>
      <w:r>
        <w:t xml:space="preserve">En tant qu’installations de grande puissance, les réseaux de chaleur urbain sont majoritairement approvisionnés par du bois </w:t>
      </w:r>
      <w:r w:rsidRPr="00B3295F">
        <w:t xml:space="preserve">plaquette </w:t>
      </w:r>
      <w:r>
        <w:t xml:space="preserve">et un appoint au </w:t>
      </w:r>
      <w:r w:rsidRPr="00B3295F">
        <w:t>ga</w:t>
      </w:r>
      <w:r>
        <w:t>z</w:t>
      </w:r>
      <w:r w:rsidRPr="00B3295F">
        <w:t>.</w:t>
      </w:r>
      <w:r>
        <w:t xml:space="preserve"> Les réseaux de petite taille - </w:t>
      </w:r>
      <w:r w:rsidRPr="00B3295F">
        <w:t xml:space="preserve">réseau de chaleur interne </w:t>
      </w:r>
      <w:r>
        <w:t xml:space="preserve">reliant des </w:t>
      </w:r>
      <w:r w:rsidRPr="00B3295F">
        <w:t>bâtiments communaux</w:t>
      </w:r>
      <w:r>
        <w:t xml:space="preserve"> ou un </w:t>
      </w:r>
      <w:r w:rsidRPr="00B3295F">
        <w:t>petit groupe scolaire</w:t>
      </w:r>
      <w:r>
        <w:t xml:space="preserve"> - dont la puissance est inférieure à </w:t>
      </w:r>
      <w:r w:rsidRPr="00B3295F">
        <w:t>200 kW</w:t>
      </w:r>
      <w:r>
        <w:t xml:space="preserve"> sont généralement équipés de chaufferies à granulés. </w:t>
      </w:r>
    </w:p>
    <w:p w14:paraId="73D5D296" w14:textId="4CBEAE85" w:rsidR="00B7744E" w:rsidRPr="002E437C" w:rsidRDefault="002E437C" w:rsidP="002E437C">
      <w:pPr>
        <w:pStyle w:val="Style1"/>
        <w:rPr>
          <w:rFonts w:eastAsia="Batang"/>
        </w:rPr>
      </w:pPr>
      <w:bookmarkStart w:id="192" w:name="_Toc129784766"/>
      <w:r w:rsidRPr="002E437C">
        <w:rPr>
          <w:rFonts w:eastAsia="Batang"/>
        </w:rPr>
        <w:t xml:space="preserve">Potentiel de stockage des </w:t>
      </w:r>
      <w:proofErr w:type="spellStart"/>
      <w:r w:rsidRPr="002E437C">
        <w:rPr>
          <w:rFonts w:eastAsia="Batang"/>
        </w:rPr>
        <w:t>EnR&amp;R</w:t>
      </w:r>
      <w:bookmarkEnd w:id="192"/>
      <w:proofErr w:type="spellEnd"/>
    </w:p>
    <w:p w14:paraId="3BD2CC2B" w14:textId="77777777" w:rsidR="002E437C" w:rsidRDefault="002E437C" w:rsidP="00CC02E9">
      <w:r>
        <w:t xml:space="preserve">Il existe différents types de technologies de stockage d’énergie, à usages (électricité, chaleur, carburant…) et échéances (horaire, journalier, inter-saisonnier…) différents. </w:t>
      </w:r>
    </w:p>
    <w:p w14:paraId="75712933" w14:textId="0C2798BF" w:rsidR="002E437C" w:rsidRDefault="002E437C" w:rsidP="00CC02E9">
      <w:r>
        <w:t xml:space="preserve">Ces technologies se séparent alors en deux catégories, le stockage d’électricité et le stockage de chaleur. </w:t>
      </w:r>
    </w:p>
    <w:p w14:paraId="265AD388" w14:textId="77777777" w:rsidR="00CC02E9" w:rsidRDefault="002E437C" w:rsidP="008A0F26">
      <w:pPr>
        <w:pStyle w:val="Titre2"/>
        <w:ind w:left="1996" w:hanging="578"/>
      </w:pPr>
      <w:bookmarkStart w:id="193" w:name="_Toc129784767"/>
      <w:r>
        <w:t>Stockage d’électricité</w:t>
      </w:r>
      <w:bookmarkEnd w:id="193"/>
    </w:p>
    <w:p w14:paraId="64CF8E23" w14:textId="0571C088" w:rsidR="002E437C" w:rsidRDefault="002E437C" w:rsidP="00CC02E9">
      <w:r>
        <w:t xml:space="preserve">Il existe plusieurs types de technologies de stockage d’électricité à niveaux de maturité différents. Ci-dessous un classement datant de 2012 des technologies les plus courantes d’après le cabinet d’étude </w:t>
      </w:r>
      <w:proofErr w:type="spellStart"/>
      <w:r>
        <w:t>Enea</w:t>
      </w:r>
      <w:proofErr w:type="spellEnd"/>
      <w:r>
        <w:t>.</w:t>
      </w:r>
    </w:p>
    <w:p w14:paraId="098CC51C" w14:textId="77777777" w:rsidR="002E437C" w:rsidRDefault="002E437C" w:rsidP="002E437C">
      <w:pPr>
        <w:spacing w:after="160" w:line="256" w:lineRule="auto"/>
        <w:jc w:val="center"/>
      </w:pPr>
      <w:r>
        <w:rPr>
          <w:noProof/>
        </w:rPr>
        <w:drawing>
          <wp:inline distT="0" distB="0" distL="0" distR="0" wp14:anchorId="0DDC1D10" wp14:editId="5053B82B">
            <wp:extent cx="5204460" cy="4480560"/>
            <wp:effectExtent l="0" t="0" r="0" b="0"/>
            <wp:docPr id="15" name="Image 15" descr="Résultat de recherche d'images pour &quot;enea consulting stock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6" descr="Résultat de recherche d'images pour &quot;enea consulting stockage&quo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4460" cy="4480560"/>
                    </a:xfrm>
                    <a:prstGeom prst="rect">
                      <a:avLst/>
                    </a:prstGeom>
                    <a:noFill/>
                    <a:ln>
                      <a:noFill/>
                    </a:ln>
                  </pic:spPr>
                </pic:pic>
              </a:graphicData>
            </a:graphic>
          </wp:inline>
        </w:drawing>
      </w:r>
    </w:p>
    <w:p w14:paraId="78728854" w14:textId="77777777" w:rsidR="002E437C" w:rsidRDefault="002E437C" w:rsidP="002E437C">
      <w:pPr>
        <w:spacing w:after="160" w:line="256" w:lineRule="auto"/>
        <w:jc w:val="left"/>
      </w:pPr>
      <w:r>
        <w:lastRenderedPageBreak/>
        <w:t xml:space="preserve">Ne seront présentées dans la suite que les technologies de stockage à partir du niveau de maturité de démonstrateur. </w:t>
      </w:r>
    </w:p>
    <w:p w14:paraId="5CE4F174" w14:textId="77777777" w:rsidR="002E437C" w:rsidRDefault="002E437C" w:rsidP="002E437C">
      <w:pPr>
        <w:spacing w:after="160" w:line="256" w:lineRule="auto"/>
        <w:jc w:val="left"/>
        <w:rPr>
          <w:b/>
          <w:bCs/>
        </w:rPr>
      </w:pPr>
      <w:r>
        <w:rPr>
          <w:b/>
          <w:bCs/>
        </w:rPr>
        <w:t>STEP (stockage gravitaire)</w:t>
      </w:r>
    </w:p>
    <w:p w14:paraId="560FE18E" w14:textId="77777777" w:rsidR="002E437C" w:rsidRDefault="002E437C" w:rsidP="002E437C">
      <w:pPr>
        <w:spacing w:after="160" w:line="256" w:lineRule="auto"/>
      </w:pPr>
      <w:r>
        <w:t>Une station de transfert d’énergie par pompage (STEP) est une technologie utilisant l’énergie potentielle de l’eau. Le principe est de pomper de l’eau pour la stocker dans des bassins d’accumulation en hauteur lorsque la demande d’énergie est faible (c’est le pompage) ; et plus tard de turbiner cette eau en la laissant redescendre pour produire de l’électricité lorsque la demande est forte.</w:t>
      </w:r>
    </w:p>
    <w:p w14:paraId="3A4CEC70" w14:textId="77777777" w:rsidR="002E437C" w:rsidRDefault="002E437C" w:rsidP="002E437C">
      <w:pPr>
        <w:spacing w:after="160" w:line="256" w:lineRule="auto"/>
      </w:pPr>
      <w:r>
        <w:t>Les STEP nécessitent donc un certain dénivelé pour fonctionner, ce qui n’est pas une des caractéristiques du territoire de la CASQY. Cette technologie de stockage n’est donc pas adaptée ici.</w:t>
      </w:r>
    </w:p>
    <w:p w14:paraId="34175516" w14:textId="77777777" w:rsidR="002E437C" w:rsidRDefault="002E437C" w:rsidP="002E437C">
      <w:pPr>
        <w:spacing w:after="160" w:line="256" w:lineRule="auto"/>
        <w:jc w:val="left"/>
        <w:rPr>
          <w:b/>
          <w:bCs/>
        </w:rPr>
      </w:pPr>
      <w:r>
        <w:rPr>
          <w:b/>
          <w:bCs/>
        </w:rPr>
        <w:t>Reconditionnement de batteries de voiture électrique (exemple de stockage électrochimique)</w:t>
      </w:r>
    </w:p>
    <w:p w14:paraId="7E280302" w14:textId="77777777" w:rsidR="002E437C" w:rsidRDefault="002E437C" w:rsidP="002E437C">
      <w:pPr>
        <w:spacing w:after="160" w:line="256" w:lineRule="auto"/>
      </w:pPr>
      <w:proofErr w:type="gramStart"/>
      <w:r>
        <w:t>Lorsqu’une batterie atteint</w:t>
      </w:r>
      <w:proofErr w:type="gramEnd"/>
      <w:r>
        <w:t xml:space="preserve"> 70 % de sa capacité, elle n’est plus considérée comme utilisable dans une voiture électrique. </w:t>
      </w:r>
      <w:proofErr w:type="gramStart"/>
      <w:r>
        <w:t>Par contre</w:t>
      </w:r>
      <w:proofErr w:type="gramEnd"/>
      <w:r>
        <w:t xml:space="preserve">, elle peut être utilisée pour le stockage d’énergie. </w:t>
      </w:r>
    </w:p>
    <w:p w14:paraId="600851A5" w14:textId="77777777" w:rsidR="002E437C" w:rsidRDefault="002E437C" w:rsidP="002E437C">
      <w:pPr>
        <w:spacing w:after="160" w:line="256" w:lineRule="auto"/>
      </w:pPr>
      <w:r>
        <w:t xml:space="preserve">Pour une batterie de Zoé Renault actuelle, sa capacité est comprise entre 22 kWh pour les premiers modèles, et atteint maintenant 41 kWh.  </w:t>
      </w:r>
    </w:p>
    <w:p w14:paraId="3A3112C4" w14:textId="77777777" w:rsidR="002E437C" w:rsidRDefault="002E437C" w:rsidP="002E437C">
      <w:pPr>
        <w:spacing w:after="160" w:line="256" w:lineRule="auto"/>
      </w:pPr>
      <w:r>
        <w:t xml:space="preserve">On peut donc estimer à au moins 15 kWh (premiers modèles Zoé) la capacité de stockage d’une batterie de voiture actuelle en fin de vie. </w:t>
      </w:r>
    </w:p>
    <w:p w14:paraId="07A9AB4B" w14:textId="5F878296" w:rsidR="002E437C" w:rsidRDefault="002E437C" w:rsidP="002E437C">
      <w:pPr>
        <w:spacing w:after="160" w:line="256" w:lineRule="auto"/>
      </w:pPr>
      <w:r>
        <w:t xml:space="preserve">Cette ressource de stockage est peu volumineuse et va continuer d’augmenter étant donné la diffusion importante des véhicules électriques et donc du nombre de batteries à « recycler ». Elle est particulièrement adaptée pour optimiser une installation photovoltaïque en autoconsommation afin d’absorber la production non consommée durant la journée et la restituer le soir et la nuit. </w:t>
      </w:r>
    </w:p>
    <w:p w14:paraId="131D17AB" w14:textId="77777777" w:rsidR="002E437C" w:rsidRDefault="002E437C" w:rsidP="002E437C">
      <w:pPr>
        <w:spacing w:after="160" w:line="256" w:lineRule="auto"/>
        <w:jc w:val="left"/>
        <w:rPr>
          <w:b/>
          <w:bCs/>
        </w:rPr>
      </w:pPr>
      <w:r>
        <w:rPr>
          <w:b/>
          <w:bCs/>
        </w:rPr>
        <w:t>Volants d’inertie (stockage inertiel)</w:t>
      </w:r>
    </w:p>
    <w:p w14:paraId="5E21B02B" w14:textId="77777777" w:rsidR="002E437C" w:rsidRDefault="002E437C" w:rsidP="002E437C">
      <w:pPr>
        <w:spacing w:after="160" w:line="256" w:lineRule="auto"/>
        <w:jc w:val="left"/>
      </w:pPr>
      <w:r>
        <w:t xml:space="preserve">Les volants d’inertie classiques ont des temps de stockage très courts (environ 15 minutes) et entrent dans la catégorie des stockages horaires utilisés par exemple dans les trams afin de récupérer l’énergie au freinage. </w:t>
      </w:r>
    </w:p>
    <w:p w14:paraId="4D70528A" w14:textId="77777777" w:rsidR="002E437C" w:rsidRDefault="002E437C" w:rsidP="002E437C">
      <w:pPr>
        <w:spacing w:after="160" w:line="256" w:lineRule="auto"/>
      </w:pPr>
      <w:r>
        <w:t xml:space="preserve">Cependant, il existe une technologie plus récente : les volants d’inertie en béton fibré.  Elle vise environ 24h de stockage pour lisser la production de panneaux solaires sur une journée. Le volant est de forme cylindrique et sa taille varie entre 0,8 m de diamètre pour 1,5 m de hauteur, et 1,6 m de diamètre pour 3,3 m de hauteur. Suivant sa taille, il peut stocker de 5 kWh à 50 kWh. </w:t>
      </w:r>
    </w:p>
    <w:p w14:paraId="691B47B4" w14:textId="77777777" w:rsidR="002E437C" w:rsidRDefault="002E437C" w:rsidP="002E437C">
      <w:pPr>
        <w:spacing w:after="160" w:line="256" w:lineRule="auto"/>
        <w:jc w:val="left"/>
        <w:rPr>
          <w:b/>
          <w:bCs/>
        </w:rPr>
      </w:pPr>
      <w:r>
        <w:rPr>
          <w:b/>
          <w:bCs/>
        </w:rPr>
        <w:t>Stockage d’électricité sous forme d’hydrogène (stockage chimique)</w:t>
      </w:r>
    </w:p>
    <w:p w14:paraId="569AC0D8" w14:textId="77777777" w:rsidR="002E437C" w:rsidRDefault="002E437C" w:rsidP="002E437C">
      <w:pPr>
        <w:spacing w:after="160" w:line="256" w:lineRule="auto"/>
      </w:pPr>
      <w:r>
        <w:t xml:space="preserve">Le principe de fonctionnement est basé sur une réaction électrochimique. Lorsque l’électricité produite par une énergie renouvelable (solaire photovoltaïque, éolien…) n’est pas consommée directement, elle est utilisée pour effectuer une réaction d’électrolyse de l’eau pour la transformer en hydrogène et oxygène. Ces gaz sont alors stockés, et lors des pics de consommation, ils sont recombinés en effectuant la réaction électrochimique inverse pour produire de l’électricité. </w:t>
      </w:r>
    </w:p>
    <w:p w14:paraId="09E5135C" w14:textId="77777777" w:rsidR="002E437C" w:rsidRDefault="002E437C" w:rsidP="002E437C">
      <w:pPr>
        <w:spacing w:after="160" w:line="256" w:lineRule="auto"/>
      </w:pPr>
      <w:r>
        <w:t>L’hydrogène présente l’avantage d’avoir une très forte densité énergétique. En effet, on peut stocker 33 000 Wh/kg d’hydrogène, contre 200 Wh/kg de batterie électrique classique. Ce gaz est cependant inflammable et explosif, et donc plus difficile à stocker ; mais de plus en plus d’entreprises proposent des solutions innovantes et prometteuses.</w:t>
      </w:r>
    </w:p>
    <w:p w14:paraId="506E12B0" w14:textId="03DC3EDD" w:rsidR="00EF0CFD" w:rsidRPr="00B17D48" w:rsidRDefault="002E437C" w:rsidP="00B17D48">
      <w:pPr>
        <w:spacing w:after="160" w:line="256" w:lineRule="auto"/>
      </w:pPr>
      <w:r>
        <w:t xml:space="preserve">La puissance de charge peut varier entre 20 kW et 100 kW suivant les modèles. L’encombrement pour une unité de 100 kW est défini par une empreinte au sol de 15 m² (6,1 m x 2,4 m x 2,6 m), sans compter le ballon de stockage du gaz produit. </w:t>
      </w:r>
    </w:p>
    <w:p w14:paraId="752A286D" w14:textId="77777777" w:rsidR="002E437C" w:rsidRDefault="002E437C" w:rsidP="002E437C">
      <w:pPr>
        <w:spacing w:after="160" w:line="256" w:lineRule="auto"/>
        <w:jc w:val="left"/>
        <w:rPr>
          <w:b/>
          <w:bCs/>
        </w:rPr>
      </w:pPr>
      <w:r>
        <w:rPr>
          <w:b/>
          <w:bCs/>
        </w:rPr>
        <w:lastRenderedPageBreak/>
        <w:t>Stockage d’électricité sous forme d’air comprimé (CAES – stockage à air comprimé)</w:t>
      </w:r>
    </w:p>
    <w:p w14:paraId="6D5DE657" w14:textId="6CA9AA47" w:rsidR="002E437C" w:rsidRDefault="002E437C" w:rsidP="002E437C">
      <w:pPr>
        <w:spacing w:after="160" w:line="256" w:lineRule="auto"/>
      </w:pPr>
      <w:r>
        <w:t xml:space="preserve">Le principe est d’utiliser le surplus d’électricité pour alimenter un compresseur qui comprime l’air ; l’air comprimé est stocké dans une cavité ou un réservoir en sous-sol, et lors des pics de consommation, le réservoir est rouvert et l’air passe par une turbine qui va produire de l’électricité. </w:t>
      </w:r>
    </w:p>
    <w:p w14:paraId="06AEB7F2" w14:textId="336464CD" w:rsidR="00CC02E9" w:rsidRDefault="002E437C" w:rsidP="002E437C">
      <w:pPr>
        <w:spacing w:after="160" w:line="256" w:lineRule="auto"/>
      </w:pPr>
      <w:r>
        <w:t>Les installations existantes ont une puissance de 10 à 300 MW et produisent annuellement de 10 MWh à 10 </w:t>
      </w:r>
      <w:proofErr w:type="gramStart"/>
      <w:r>
        <w:t>GWh</w:t>
      </w:r>
      <w:proofErr w:type="gramEnd"/>
      <w:r>
        <w:t xml:space="preserve">. </w:t>
      </w:r>
      <w:r w:rsidR="00B17D48">
        <w:br/>
      </w:r>
    </w:p>
    <w:p w14:paraId="589F18FE" w14:textId="77777777" w:rsidR="00CC02E9" w:rsidRDefault="00CC02E9" w:rsidP="008A0F26">
      <w:pPr>
        <w:pStyle w:val="Titre2"/>
        <w:ind w:left="1996" w:hanging="578"/>
      </w:pPr>
      <w:bookmarkStart w:id="194" w:name="_Toc129784768"/>
      <w:r>
        <w:t>Stockage de chaleur</w:t>
      </w:r>
      <w:bookmarkEnd w:id="194"/>
    </w:p>
    <w:p w14:paraId="6B868038" w14:textId="5D9B3D19" w:rsidR="002E437C" w:rsidRDefault="002E437C" w:rsidP="002E437C">
      <w:pPr>
        <w:spacing w:after="160" w:line="256" w:lineRule="auto"/>
      </w:pPr>
      <w:r>
        <w:t xml:space="preserve">Le stockage de chaleur horaire et journalier est simple et est couramment utilisé sous la forme d’un ballon d’eau chaude isolé dont le volume varie de quelques dizaines de litres à quelque mètre cube permettant d’absorber les pics de consommation de chaleur et donc de limiter les puissances installées. Ce principe est très appliqué à l’eau chaude sanitaire, qu’elle soit produite par une source fissile, fossile ou renouvelable comme le solaire thermique. </w:t>
      </w:r>
    </w:p>
    <w:p w14:paraId="21F1CAB3" w14:textId="77777777" w:rsidR="002E437C" w:rsidRDefault="002E437C" w:rsidP="002E437C">
      <w:pPr>
        <w:spacing w:after="160" w:line="256" w:lineRule="auto"/>
      </w:pPr>
      <w:r>
        <w:t xml:space="preserve">Le stockage </w:t>
      </w:r>
      <w:proofErr w:type="spellStart"/>
      <w:r>
        <w:t>intersaisonnier</w:t>
      </w:r>
      <w:proofErr w:type="spellEnd"/>
      <w:r>
        <w:t xml:space="preserve"> de chaleur est plus rare et est appelé STES pour </w:t>
      </w:r>
      <w:proofErr w:type="spellStart"/>
      <w:r>
        <w:t>Seasonal</w:t>
      </w:r>
      <w:proofErr w:type="spellEnd"/>
      <w:r>
        <w:t xml:space="preserve"> Thermal Energy Storage (stockage thermique saisonnier). </w:t>
      </w:r>
    </w:p>
    <w:p w14:paraId="53F9ED4C" w14:textId="77777777" w:rsidR="002E437C" w:rsidRDefault="002E437C" w:rsidP="002E437C">
      <w:pPr>
        <w:spacing w:after="160" w:line="256" w:lineRule="auto"/>
      </w:pPr>
      <w:r>
        <w:t>Il s’agit de stocker de la chaleur grâce à différentes technologies en chauffant un média lorsque l’énergie thermique produite serait normalement perdue (par des panneaux solaires thermiques en été par exemple), puis en stockant cette eau chauffée dans des contenants adéquats pour conserver la chaleur et la délivrer en période de chauffage des bâtiments.</w:t>
      </w:r>
      <w:r>
        <w:tab/>
      </w:r>
      <w:r>
        <w:br/>
        <w:t xml:space="preserve"> </w:t>
      </w:r>
      <w:r>
        <w:br/>
        <w:t xml:space="preserve">Il existe 4 grandes catégories de technologies : </w:t>
      </w:r>
    </w:p>
    <w:p w14:paraId="36116642" w14:textId="77777777" w:rsidR="002E437C" w:rsidRDefault="002E437C" w:rsidP="008A0F26">
      <w:pPr>
        <w:pStyle w:val="Paragraphedeliste"/>
        <w:numPr>
          <w:ilvl w:val="0"/>
          <w:numId w:val="11"/>
        </w:numPr>
        <w:spacing w:before="120" w:line="276" w:lineRule="auto"/>
      </w:pPr>
      <w:r>
        <w:t xml:space="preserve">TTES : Tank thermal </w:t>
      </w:r>
      <w:proofErr w:type="spellStart"/>
      <w:r>
        <w:t>energy</w:t>
      </w:r>
      <w:proofErr w:type="spellEnd"/>
      <w:r>
        <w:t xml:space="preserve"> </w:t>
      </w:r>
      <w:proofErr w:type="spellStart"/>
      <w:r>
        <w:t>storage</w:t>
      </w:r>
      <w:proofErr w:type="spellEnd"/>
      <w:r>
        <w:t xml:space="preserve"> (stockage dans un réservoir)</w:t>
      </w:r>
    </w:p>
    <w:p w14:paraId="548CD029" w14:textId="77777777" w:rsidR="002E437C" w:rsidRDefault="002E437C" w:rsidP="008A0F26">
      <w:pPr>
        <w:pStyle w:val="Paragraphedeliste"/>
        <w:numPr>
          <w:ilvl w:val="0"/>
          <w:numId w:val="11"/>
        </w:numPr>
        <w:spacing w:before="120" w:line="276" w:lineRule="auto"/>
      </w:pPr>
      <w:r>
        <w:t xml:space="preserve">PTES : Pit thermal </w:t>
      </w:r>
      <w:proofErr w:type="spellStart"/>
      <w:r>
        <w:t>energy</w:t>
      </w:r>
      <w:proofErr w:type="spellEnd"/>
      <w:r>
        <w:t xml:space="preserve"> </w:t>
      </w:r>
      <w:proofErr w:type="spellStart"/>
      <w:r>
        <w:t>storage</w:t>
      </w:r>
      <w:proofErr w:type="spellEnd"/>
      <w:r>
        <w:t xml:space="preserve"> (stockage dans un puit)</w:t>
      </w:r>
    </w:p>
    <w:p w14:paraId="391A9B19" w14:textId="77777777" w:rsidR="002E437C" w:rsidRDefault="002E437C" w:rsidP="008A0F26">
      <w:pPr>
        <w:pStyle w:val="Paragraphedeliste"/>
        <w:numPr>
          <w:ilvl w:val="0"/>
          <w:numId w:val="11"/>
        </w:numPr>
        <w:spacing w:before="120" w:line="276" w:lineRule="auto"/>
      </w:pPr>
      <w:r>
        <w:t xml:space="preserve">BTES : </w:t>
      </w:r>
      <w:proofErr w:type="spellStart"/>
      <w:r>
        <w:t>Borehole</w:t>
      </w:r>
      <w:proofErr w:type="spellEnd"/>
      <w:r>
        <w:t xml:space="preserve"> thermal </w:t>
      </w:r>
      <w:proofErr w:type="spellStart"/>
      <w:r>
        <w:t>energy</w:t>
      </w:r>
      <w:proofErr w:type="spellEnd"/>
      <w:r>
        <w:t xml:space="preserve"> </w:t>
      </w:r>
      <w:proofErr w:type="spellStart"/>
      <w:r>
        <w:t>storage</w:t>
      </w:r>
      <w:proofErr w:type="spellEnd"/>
      <w:r>
        <w:t xml:space="preserve"> (stockage avec forage pour des sondes)</w:t>
      </w:r>
    </w:p>
    <w:p w14:paraId="4CBCDEA1" w14:textId="77777777" w:rsidR="002E437C" w:rsidRDefault="002E437C" w:rsidP="008A0F26">
      <w:pPr>
        <w:pStyle w:val="Paragraphedeliste"/>
        <w:numPr>
          <w:ilvl w:val="0"/>
          <w:numId w:val="11"/>
        </w:numPr>
        <w:spacing w:before="120" w:line="276" w:lineRule="auto"/>
      </w:pPr>
      <w:r>
        <w:t xml:space="preserve">ATES : </w:t>
      </w:r>
      <w:proofErr w:type="spellStart"/>
      <w:r>
        <w:t>Aquifer</w:t>
      </w:r>
      <w:proofErr w:type="spellEnd"/>
      <w:r>
        <w:t xml:space="preserve"> thermal </w:t>
      </w:r>
      <w:proofErr w:type="spellStart"/>
      <w:r>
        <w:t>energy</w:t>
      </w:r>
      <w:proofErr w:type="spellEnd"/>
      <w:r>
        <w:t xml:space="preserve"> </w:t>
      </w:r>
      <w:proofErr w:type="spellStart"/>
      <w:r>
        <w:t>storage</w:t>
      </w:r>
      <w:proofErr w:type="spellEnd"/>
      <w:r>
        <w:t xml:space="preserve"> (stockage dans un aquifère)</w:t>
      </w:r>
    </w:p>
    <w:p w14:paraId="04B5AA72" w14:textId="77777777" w:rsidR="002E437C" w:rsidRDefault="002E437C" w:rsidP="002E437C">
      <w:pPr>
        <w:spacing w:after="160" w:line="256" w:lineRule="auto"/>
        <w:jc w:val="left"/>
        <w:rPr>
          <w:b/>
          <w:bCs/>
        </w:rPr>
      </w:pPr>
      <w:r>
        <w:rPr>
          <w:b/>
          <w:bCs/>
        </w:rPr>
        <w:t>Stockage thermique dans un réservoir (TTES)</w:t>
      </w:r>
    </w:p>
    <w:p w14:paraId="485896BA" w14:textId="77777777" w:rsidR="002E437C" w:rsidRDefault="002E437C" w:rsidP="002E437C">
      <w:pPr>
        <w:spacing w:after="160" w:line="256" w:lineRule="auto"/>
      </w:pPr>
      <w:r>
        <w:rPr>
          <w:noProof/>
        </w:rPr>
        <w:drawing>
          <wp:anchor distT="0" distB="0" distL="114300" distR="114300" simplePos="0" relativeHeight="251682816" behindDoc="0" locked="0" layoutInCell="1" allowOverlap="1" wp14:anchorId="36CD1CCB" wp14:editId="75D6630C">
            <wp:simplePos x="0" y="0"/>
            <wp:positionH relativeFrom="margin">
              <wp:posOffset>3991610</wp:posOffset>
            </wp:positionH>
            <wp:positionV relativeFrom="paragraph">
              <wp:posOffset>44450</wp:posOffset>
            </wp:positionV>
            <wp:extent cx="2027555" cy="1245235"/>
            <wp:effectExtent l="0" t="0" r="0" b="0"/>
            <wp:wrapSquare wrapText="bothSides"/>
            <wp:docPr id="29" name="Image 29" descr="Une image contenant ciel,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ciel, extérieur&#10;&#10;Description générée automatiqueme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27555" cy="1245235"/>
                    </a:xfrm>
                    <a:prstGeom prst="rect">
                      <a:avLst/>
                    </a:prstGeom>
                    <a:noFill/>
                  </pic:spPr>
                </pic:pic>
              </a:graphicData>
            </a:graphic>
            <wp14:sizeRelH relativeFrom="page">
              <wp14:pctWidth>0</wp14:pctWidth>
            </wp14:sizeRelH>
            <wp14:sizeRelV relativeFrom="page">
              <wp14:pctHeight>0</wp14:pctHeight>
            </wp14:sizeRelV>
          </wp:anchor>
        </w:drawing>
      </w:r>
      <w:r>
        <w:t>La capacité de stockage dépend du volume du réservoir et des niveaux de température recherché mais est en moyenne de 60 à 80 kWh/m</w:t>
      </w:r>
      <w:r>
        <w:rPr>
          <w:vertAlign w:val="superscript"/>
        </w:rPr>
        <w:t>3</w:t>
      </w:r>
      <w:r>
        <w:t>. La photo</w:t>
      </w:r>
      <w:r>
        <w:rPr>
          <w:vertAlign w:val="superscript"/>
        </w:rPr>
        <w:footnoteReference w:id="8"/>
      </w:r>
      <w:r>
        <w:t xml:space="preserve"> ci-contre représente un réservoir aérien de 5 700 m</w:t>
      </w:r>
      <w:r>
        <w:rPr>
          <w:vertAlign w:val="superscript"/>
        </w:rPr>
        <w:t>3</w:t>
      </w:r>
      <w:r>
        <w:t xml:space="preserve"> construit à Munich en 2007 pour participer en hiver au chauffage des bâtiments du lotissement voisin. La capacité de stockage est d’environ 400MWh, soit les besoins de chauffage de 4 300 m² de logements. </w:t>
      </w:r>
    </w:p>
    <w:p w14:paraId="099B4A12" w14:textId="77777777" w:rsidR="002E437C" w:rsidRDefault="002E437C" w:rsidP="002E437C">
      <w:pPr>
        <w:spacing w:after="160" w:line="256" w:lineRule="auto"/>
        <w:rPr>
          <w:b/>
          <w:bCs/>
        </w:rPr>
      </w:pPr>
      <w:r>
        <w:rPr>
          <w:b/>
          <w:bCs/>
        </w:rPr>
        <w:t>Stockage thermique dans un puit (PTES)</w:t>
      </w:r>
    </w:p>
    <w:p w14:paraId="2575489E" w14:textId="77777777" w:rsidR="002E437C" w:rsidRDefault="002E437C" w:rsidP="002E437C">
      <w:pPr>
        <w:spacing w:after="160" w:line="256" w:lineRule="auto"/>
      </w:pPr>
      <w:r>
        <w:t>Le principe et les ordres de grandeur sont les mêmes que le stockage précédent, 60 à 80 kWh/m</w:t>
      </w:r>
      <w:r>
        <w:rPr>
          <w:vertAlign w:val="superscript"/>
        </w:rPr>
        <w:t>3</w:t>
      </w:r>
      <w:r>
        <w:t xml:space="preserve"> de puit. La seule différence est que l’eau est stockée dans un puit peu profond rempli d’eau (et éventuellement de gravier), et recouvert d’un isolant et de terre. </w:t>
      </w:r>
    </w:p>
    <w:p w14:paraId="1F6F9218" w14:textId="77777777" w:rsidR="002E437C" w:rsidRDefault="002E437C" w:rsidP="002E437C">
      <w:pPr>
        <w:spacing w:after="160" w:line="256" w:lineRule="auto"/>
      </w:pPr>
      <w:r>
        <w:lastRenderedPageBreak/>
        <w:t>Le plus grand puits se trouve au Danemark avec une capacité de 200 000 m</w:t>
      </w:r>
      <w:r>
        <w:rPr>
          <w:vertAlign w:val="superscript"/>
        </w:rPr>
        <w:t>3</w:t>
      </w:r>
      <w:r>
        <w:t>. Il est couplé à une installation de 5 ha de panneaux de solaire thermique qui alimente 2 000 logements. Sans le stockage thermique, l’installation couvre 20 à 25% des besoins des logements, et avec le stockage elle passe à 55-60% de couverture des besoins de chaleur</w:t>
      </w:r>
      <w:r>
        <w:rPr>
          <w:vertAlign w:val="superscript"/>
        </w:rPr>
        <w:footnoteReference w:id="9"/>
      </w:r>
      <w:r>
        <w:t>.</w:t>
      </w:r>
    </w:p>
    <w:p w14:paraId="16445B25" w14:textId="77777777" w:rsidR="002E437C" w:rsidRDefault="002E437C" w:rsidP="002E437C">
      <w:pPr>
        <w:spacing w:after="160" w:line="256" w:lineRule="auto"/>
        <w:rPr>
          <w:b/>
          <w:bCs/>
        </w:rPr>
      </w:pPr>
      <w:r>
        <w:rPr>
          <w:b/>
          <w:bCs/>
        </w:rPr>
        <w:t>Stockage thermique avec sondes géothermiques (BTES)</w:t>
      </w:r>
    </w:p>
    <w:p w14:paraId="5769454D" w14:textId="77777777" w:rsidR="002E437C" w:rsidRDefault="002E437C" w:rsidP="002E437C">
      <w:pPr>
        <w:spacing w:after="160" w:line="256" w:lineRule="auto"/>
      </w:pPr>
      <w:r>
        <w:rPr>
          <w:noProof/>
        </w:rPr>
        <w:drawing>
          <wp:anchor distT="0" distB="0" distL="114300" distR="114300" simplePos="0" relativeHeight="251683840" behindDoc="1" locked="0" layoutInCell="1" allowOverlap="1" wp14:anchorId="3CA2B241" wp14:editId="5A775C95">
            <wp:simplePos x="0" y="0"/>
            <wp:positionH relativeFrom="column">
              <wp:posOffset>4603115</wp:posOffset>
            </wp:positionH>
            <wp:positionV relativeFrom="paragraph">
              <wp:posOffset>0</wp:posOffset>
            </wp:positionV>
            <wp:extent cx="1856740" cy="1206500"/>
            <wp:effectExtent l="0" t="0" r="0" b="0"/>
            <wp:wrapTight wrapText="bothSides">
              <wp:wrapPolygon edited="0">
                <wp:start x="0" y="0"/>
                <wp:lineTo x="0" y="21145"/>
                <wp:lineTo x="21275" y="21145"/>
                <wp:lineTo x="21275"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56740" cy="1206500"/>
                    </a:xfrm>
                    <a:prstGeom prst="rect">
                      <a:avLst/>
                    </a:prstGeom>
                    <a:noFill/>
                  </pic:spPr>
                </pic:pic>
              </a:graphicData>
            </a:graphic>
            <wp14:sizeRelH relativeFrom="page">
              <wp14:pctWidth>0</wp14:pctWidth>
            </wp14:sizeRelH>
            <wp14:sizeRelV relativeFrom="page">
              <wp14:pctHeight>0</wp14:pctHeight>
            </wp14:sizeRelV>
          </wp:anchor>
        </w:drawing>
      </w:r>
      <w:r>
        <w:t xml:space="preserve">Ces systèmes de stockage peuvent être construits partout où des sondes géothermiques peuvent être implantées, sous l’emprise d’un bâtiment par exemple. Ce sont plusieurs centaines de sondes verticales de 155 mm de diamètre qui sont généralement implantées en cercle à des profondeurs qui peuvent aller jusqu’à 200 mètres (maximum fixé par la réglementation française et non par la technologie). </w:t>
      </w:r>
    </w:p>
    <w:p w14:paraId="7C9470E9" w14:textId="16DB3B24" w:rsidR="002E437C" w:rsidRDefault="002E437C" w:rsidP="002E437C">
      <w:pPr>
        <w:spacing w:after="160" w:line="256" w:lineRule="auto"/>
      </w:pPr>
      <w:r>
        <w:t>Le fluide, chauffé en été par l’excédent d’énergie thermique produite, par des panneaux solaire</w:t>
      </w:r>
      <w:r w:rsidR="00EF0CFD">
        <w:t>s</w:t>
      </w:r>
      <w:r>
        <w:t xml:space="preserve"> thermique</w:t>
      </w:r>
      <w:r w:rsidR="00EF0CFD">
        <w:t>s</w:t>
      </w:r>
      <w:r>
        <w:t xml:space="preserve"> par exemple, circule dans les sondes, chauffe le sol et ressort froid. En hiver, la demande de chaleur est importante donc le fluide est injecté froid, se réchauffe en circulant dans les sondes entourées de terre chaude et ressort </w:t>
      </w:r>
      <w:proofErr w:type="gramStart"/>
      <w:r>
        <w:t>préchauffé</w:t>
      </w:r>
      <w:proofErr w:type="gramEnd"/>
      <w:r>
        <w:t xml:space="preserve">. </w:t>
      </w:r>
    </w:p>
    <w:p w14:paraId="65BCA7F5" w14:textId="77777777" w:rsidR="002E437C" w:rsidRDefault="002E437C" w:rsidP="002E437C">
      <w:pPr>
        <w:spacing w:after="160" w:line="256" w:lineRule="auto"/>
      </w:pPr>
      <w:r>
        <w:t>Les puissances ce type de système peuvent aller de 50 kW à 4 MW selon le diamètre et la profondeur de l’installation. Par exemple, une installation de 32m de rayon (3 200 m²) à 30m de profondeur pourra stocker environ 3 000 MWh et restituer 2MW soit les besoins de chauffage de 32 000 m</w:t>
      </w:r>
      <w:r>
        <w:rPr>
          <w:vertAlign w:val="superscript"/>
        </w:rPr>
        <w:t>2</w:t>
      </w:r>
      <w:r>
        <w:t xml:space="preserve"> de logements.</w:t>
      </w:r>
      <w:r>
        <w:rPr>
          <w:vertAlign w:val="superscript"/>
        </w:rPr>
        <w:footnoteReference w:id="10"/>
      </w:r>
    </w:p>
    <w:p w14:paraId="11845206" w14:textId="77777777" w:rsidR="002E437C" w:rsidRDefault="002E437C" w:rsidP="002E437C">
      <w:pPr>
        <w:spacing w:after="160" w:line="256" w:lineRule="auto"/>
        <w:rPr>
          <w:b/>
          <w:bCs/>
        </w:rPr>
      </w:pPr>
      <w:r>
        <w:rPr>
          <w:b/>
          <w:bCs/>
        </w:rPr>
        <w:t>Stockage thermique en aquifère (ATES)</w:t>
      </w:r>
    </w:p>
    <w:p w14:paraId="1C4B78DD" w14:textId="77777777" w:rsidR="002E437C" w:rsidRDefault="002E437C" w:rsidP="002E437C">
      <w:pPr>
        <w:spacing w:after="160" w:line="256" w:lineRule="auto"/>
      </w:pPr>
      <w:r>
        <w:t xml:space="preserve">Le principe de fonctionnement est relativement le même que celui des BTES, la différence étant qu’au lieu de stocker la chaleur dans le sol, on la stocke dans l’eau de nappes souterraines. </w:t>
      </w:r>
    </w:p>
    <w:p w14:paraId="1668711B" w14:textId="77777777" w:rsidR="002E437C" w:rsidRDefault="002E437C" w:rsidP="002E437C">
      <w:pPr>
        <w:spacing w:after="160" w:line="256" w:lineRule="auto"/>
      </w:pPr>
      <w:r>
        <w:rPr>
          <w:noProof/>
        </w:rPr>
        <w:drawing>
          <wp:anchor distT="0" distB="0" distL="114300" distR="114300" simplePos="0" relativeHeight="251684864" behindDoc="1" locked="0" layoutInCell="1" allowOverlap="1" wp14:anchorId="52E7DC31" wp14:editId="23F72E93">
            <wp:simplePos x="0" y="0"/>
            <wp:positionH relativeFrom="margin">
              <wp:posOffset>1411605</wp:posOffset>
            </wp:positionH>
            <wp:positionV relativeFrom="paragraph">
              <wp:posOffset>269875</wp:posOffset>
            </wp:positionV>
            <wp:extent cx="3390900" cy="1266825"/>
            <wp:effectExtent l="0" t="0" r="0" b="9525"/>
            <wp:wrapTopAndBottom/>
            <wp:docPr id="17" name="Image 17" descr="https://images.lesechos.fr/archives/2007/LesEchos/20049/ECH200490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https://images.lesechos.fr/archives/2007/LesEchos/20049/ECH20049080_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90900" cy="1266825"/>
                    </a:xfrm>
                    <a:prstGeom prst="rect">
                      <a:avLst/>
                    </a:prstGeom>
                    <a:noFill/>
                  </pic:spPr>
                </pic:pic>
              </a:graphicData>
            </a:graphic>
            <wp14:sizeRelH relativeFrom="page">
              <wp14:pctWidth>0</wp14:pctWidth>
            </wp14:sizeRelH>
            <wp14:sizeRelV relativeFrom="page">
              <wp14:pctHeight>0</wp14:pctHeight>
            </wp14:sizeRelV>
          </wp:anchor>
        </w:drawing>
      </w:r>
      <w:r>
        <w:t>La capacité de stockage varie entre 30 et 40 kWh/m</w:t>
      </w:r>
      <w:r>
        <w:rPr>
          <w:vertAlign w:val="superscript"/>
        </w:rPr>
        <w:t>3</w:t>
      </w:r>
      <w:r>
        <w:t>.</w:t>
      </w:r>
    </w:p>
    <w:p w14:paraId="0A4A923D" w14:textId="2D7BCF03" w:rsidR="00EF0CFD" w:rsidRDefault="00EF0CFD" w:rsidP="002E437C">
      <w:pPr>
        <w:spacing w:after="160" w:line="256" w:lineRule="auto"/>
      </w:pPr>
    </w:p>
    <w:p w14:paraId="01C164F5" w14:textId="77777777" w:rsidR="00B17D48" w:rsidRDefault="00B17D48" w:rsidP="002E437C">
      <w:pPr>
        <w:spacing w:after="160" w:line="256" w:lineRule="auto"/>
      </w:pPr>
    </w:p>
    <w:p w14:paraId="4241910B" w14:textId="2B7D8B02" w:rsidR="00EF0CFD" w:rsidRDefault="00EF0CFD" w:rsidP="008A0F26">
      <w:pPr>
        <w:pStyle w:val="Titre2"/>
        <w:ind w:left="1996" w:hanging="578"/>
      </w:pPr>
      <w:bookmarkStart w:id="195" w:name="_Toc129784769"/>
      <w:r>
        <w:t>Conclusion</w:t>
      </w:r>
      <w:bookmarkEnd w:id="195"/>
    </w:p>
    <w:p w14:paraId="6BC75847" w14:textId="6866385F" w:rsidR="002E437C" w:rsidRDefault="002E437C" w:rsidP="002E437C">
      <w:r>
        <w:t xml:space="preserve">Les modes de stockage inter-saisonnier, comme le stockage de chaleur inter-saisonnier ou le stockage d’électricité par CAES, sont des installations volumineuses et assez coûteuses. Elles seront donc plus pertinentes à l’échelle d’un quartier. Par exemple, sur une ZAC avec des bâtiments couverts de solaire thermique, il serait possible d’installer un BTES (stockage thermique avec des sondes géothermiques) qui serait alimenté par le solaire thermique et permettrait de fournir aussi le chauffage sur un réseau de chaleur urbain. </w:t>
      </w:r>
    </w:p>
    <w:p w14:paraId="66666F2D" w14:textId="77777777" w:rsidR="002E437C" w:rsidRDefault="002E437C" w:rsidP="002E437C">
      <w:r>
        <w:t xml:space="preserve">Pour les particuliers, il vaut mieux privilégier les stockages journaliers simples et accessibles, en les couplant à des installations de production d’énergie renouvelable comme : </w:t>
      </w:r>
    </w:p>
    <w:p w14:paraId="02C40F15" w14:textId="77777777" w:rsidR="002E437C" w:rsidRPr="00F16BFD" w:rsidRDefault="002E437C" w:rsidP="008A0F26">
      <w:pPr>
        <w:pStyle w:val="Paragraphedeliste"/>
        <w:numPr>
          <w:ilvl w:val="0"/>
          <w:numId w:val="3"/>
        </w:numPr>
        <w:spacing w:before="120" w:line="276" w:lineRule="auto"/>
      </w:pPr>
      <w:r w:rsidRPr="00F16BFD">
        <w:lastRenderedPageBreak/>
        <w:t>Le stockage d’électricité avec des batteries à coupler à une installation photovoltaïque qui permet d’optimiser l’autoconsommation</w:t>
      </w:r>
    </w:p>
    <w:p w14:paraId="3683442A" w14:textId="77777777" w:rsidR="002E437C" w:rsidRPr="00F16BFD" w:rsidRDefault="002E437C" w:rsidP="008A0F26">
      <w:pPr>
        <w:pStyle w:val="Paragraphedeliste"/>
        <w:numPr>
          <w:ilvl w:val="0"/>
          <w:numId w:val="3"/>
        </w:numPr>
        <w:spacing w:before="120" w:line="276" w:lineRule="auto"/>
      </w:pPr>
      <w:r w:rsidRPr="00F16BFD">
        <w:t xml:space="preserve">Le stockage de chaleur avec des ballons tampons d’eau chaude sanitaire à coupler avec des installations de solaire thermique </w:t>
      </w:r>
    </w:p>
    <w:p w14:paraId="38187BAB" w14:textId="188C4A62" w:rsidR="002E437C" w:rsidRDefault="002E437C" w:rsidP="002E437C">
      <w:r>
        <w:t>Il est important de noter que, dans le cadre de l’énergie électrique, une bonne alternative aux solutions de stockage consiste à connecter production et consommation via notamment les technologies de réseaux intelligents (</w:t>
      </w:r>
      <w:proofErr w:type="spellStart"/>
      <w:r>
        <w:t>smart-grids</w:t>
      </w:r>
      <w:proofErr w:type="spellEnd"/>
      <w:r>
        <w:t xml:space="preserve">). Ces solutions ouvrent en effet des opportunités permettant de constituer des systèmes complémentaires et d’ajuster finement et en dynamique les profils de production aux profils de consommation. Si ces technologies sont particulièrement développées pour le photovoltaïque, des nouveaux outils législatifs facilitent leur développement (décret paru en 2017 sur l’autoconsommation photovoltaïque collective par exemple). </w:t>
      </w:r>
    </w:p>
    <w:p w14:paraId="1E4D12EF" w14:textId="77777777" w:rsidR="002E437C" w:rsidRDefault="002E437C" w:rsidP="002E437C">
      <w:r>
        <w:t>ENEDIS constitue sur ces sujets un relai privilégié du fait de sa connaissance électrique des territoires.</w:t>
      </w:r>
    </w:p>
    <w:p w14:paraId="51A33E5A" w14:textId="77777777" w:rsidR="002E437C" w:rsidRPr="00B671A6" w:rsidRDefault="002E437C" w:rsidP="002E437C">
      <w:pPr>
        <w:pStyle w:val="Style6"/>
        <w:rPr>
          <w:rFonts w:ascii="Calibri" w:eastAsia="Batang" w:hAnsi="Calibri" w:cs="Times New Roman"/>
          <w:b w:val="0"/>
          <w:color w:val="auto"/>
          <w:sz w:val="22"/>
          <w:szCs w:val="24"/>
          <w:lang w:eastAsia="fr-FR"/>
        </w:rPr>
      </w:pPr>
    </w:p>
    <w:p w14:paraId="1FBCC0AB" w14:textId="30FE6C1B" w:rsidR="00EA1E3D" w:rsidRDefault="00015ECC">
      <w:pPr>
        <w:spacing w:after="200" w:line="276" w:lineRule="auto"/>
        <w:jc w:val="left"/>
      </w:pPr>
      <w:r>
        <w:br w:type="page"/>
      </w:r>
    </w:p>
    <w:p w14:paraId="6C049174" w14:textId="71DBFE6E" w:rsidR="00015ECC" w:rsidRDefault="00015ECC" w:rsidP="00015ECC">
      <w:pPr>
        <w:pStyle w:val="Titre"/>
      </w:pPr>
      <w:r>
        <w:lastRenderedPageBreak/>
        <w:t>ANNEXES</w:t>
      </w:r>
    </w:p>
    <w:p w14:paraId="7E4A3328" w14:textId="064CF892" w:rsidR="00015ECC" w:rsidRPr="006B4C26" w:rsidRDefault="00015ECC" w:rsidP="00015ECC">
      <w:pPr>
        <w:pStyle w:val="Sous-titre"/>
      </w:pPr>
      <w:r>
        <w:br/>
      </w:r>
      <w:r w:rsidRPr="000A7A59">
        <w:t xml:space="preserve">Méthodologie pour évaluer les émissions de CO2 évitées </w:t>
      </w:r>
      <w:r w:rsidRPr="000A7A59">
        <w:tab/>
      </w:r>
    </w:p>
    <w:p w14:paraId="7F998C23" w14:textId="77777777" w:rsidR="00015ECC" w:rsidRPr="00A272DE" w:rsidRDefault="00015ECC" w:rsidP="00015ECC">
      <w:r w:rsidRPr="00A272DE">
        <w:rPr>
          <w:b/>
        </w:rPr>
        <w:t>Emissions GES</w:t>
      </w:r>
      <w:r w:rsidRPr="00A272DE">
        <w:t> : correspond aux émissions de Gaz à Effet de Serre (GES) en tonnes de CO</w:t>
      </w:r>
      <w:r w:rsidRPr="00A272DE">
        <w:rPr>
          <w:vertAlign w:val="subscript"/>
        </w:rPr>
        <w:t>2</w:t>
      </w:r>
      <w:r w:rsidRPr="00A272DE">
        <w:t xml:space="preserve"> équivalent. Les calculs sont effectués en prenant en compte les facteurs d’émission suivants :</w:t>
      </w:r>
    </w:p>
    <w:p w14:paraId="40A21406" w14:textId="77777777" w:rsidR="00015ECC" w:rsidRPr="00A272DE" w:rsidRDefault="00015ECC" w:rsidP="008A0F26">
      <w:pPr>
        <w:pStyle w:val="Paragraphedeliste"/>
        <w:numPr>
          <w:ilvl w:val="0"/>
          <w:numId w:val="13"/>
        </w:numPr>
        <w:spacing w:before="120" w:line="276" w:lineRule="auto"/>
      </w:pPr>
      <w:r>
        <w:t>Electricité : 0,084</w:t>
      </w:r>
      <w:r w:rsidRPr="00A272DE">
        <w:t xml:space="preserve"> kg</w:t>
      </w:r>
      <w:r w:rsidRPr="00A272DE">
        <w:rPr>
          <w:vertAlign w:val="subscript"/>
        </w:rPr>
        <w:t>CO2</w:t>
      </w:r>
      <w:r w:rsidRPr="00A272DE">
        <w:t xml:space="preserve"> x kWh consommés</w:t>
      </w:r>
    </w:p>
    <w:p w14:paraId="24E70705" w14:textId="77777777" w:rsidR="00015ECC" w:rsidRDefault="00015ECC" w:rsidP="008A0F26">
      <w:pPr>
        <w:pStyle w:val="Paragraphedeliste"/>
        <w:numPr>
          <w:ilvl w:val="0"/>
          <w:numId w:val="13"/>
        </w:numPr>
        <w:spacing w:before="120" w:line="276" w:lineRule="auto"/>
      </w:pPr>
      <w:r>
        <w:t>Gasoil et GNR : 3,17 kg</w:t>
      </w:r>
      <w:r>
        <w:rPr>
          <w:vertAlign w:val="subscript"/>
        </w:rPr>
        <w:t>CO2</w:t>
      </w:r>
      <w:r>
        <w:t>/L (Base carbone ADEME)</w:t>
      </w:r>
    </w:p>
    <w:p w14:paraId="4E050051" w14:textId="77777777" w:rsidR="00015ECC" w:rsidRDefault="00015ECC" w:rsidP="00015ECC">
      <w:pPr>
        <w:spacing w:after="160" w:line="259" w:lineRule="auto"/>
        <w:jc w:val="left"/>
      </w:pPr>
      <w:r>
        <w:t>Concernant les GES évités, les hypothèses suivantes ont été prises :</w:t>
      </w:r>
    </w:p>
    <w:p w14:paraId="30E9F16D" w14:textId="77777777" w:rsidR="00015ECC" w:rsidRPr="00F16BFD" w:rsidRDefault="00015ECC" w:rsidP="008A0F26">
      <w:pPr>
        <w:pStyle w:val="Paragraphedeliste"/>
        <w:numPr>
          <w:ilvl w:val="0"/>
          <w:numId w:val="13"/>
        </w:numPr>
        <w:spacing w:after="160" w:line="259" w:lineRule="auto"/>
        <w:jc w:val="left"/>
      </w:pPr>
      <w:r w:rsidRPr="00F16BFD">
        <w:t>Pour les ENR thermiques hors récupération : émissions de GES moyen pour le chauffage 193 g</w:t>
      </w:r>
      <w:r w:rsidRPr="00F16BFD">
        <w:rPr>
          <w:vertAlign w:val="subscript"/>
        </w:rPr>
        <w:t>CO2</w:t>
      </w:r>
      <w:r w:rsidRPr="00F16BFD">
        <w:t>/</w:t>
      </w:r>
      <w:proofErr w:type="gramStart"/>
      <w:r w:rsidRPr="00F16BFD">
        <w:t>kWh  (</w:t>
      </w:r>
      <w:proofErr w:type="gramEnd"/>
      <w:r w:rsidRPr="00F16BFD">
        <w:t xml:space="preserve">source : </w:t>
      </w:r>
      <w:hyperlink r:id="rId69" w:history="1">
        <w:r w:rsidRPr="00F16BFD">
          <w:rPr>
            <w:rStyle w:val="Lienhypertexte"/>
          </w:rPr>
          <w:t>http://www.economiedenergie.fr</w:t>
        </w:r>
      </w:hyperlink>
      <w:r w:rsidRPr="00F16BFD">
        <w:t>)</w:t>
      </w:r>
    </w:p>
    <w:p w14:paraId="19DFBFD0" w14:textId="77777777" w:rsidR="00015ECC" w:rsidRPr="00F16BFD" w:rsidRDefault="00015ECC" w:rsidP="008A0F26">
      <w:pPr>
        <w:pStyle w:val="Paragraphedeliste"/>
        <w:numPr>
          <w:ilvl w:val="0"/>
          <w:numId w:val="13"/>
        </w:numPr>
        <w:spacing w:after="160" w:line="259" w:lineRule="auto"/>
        <w:jc w:val="left"/>
      </w:pPr>
      <w:r w:rsidRPr="00F16BFD">
        <w:t>Pour les ENR électrique : 0,084 kg</w:t>
      </w:r>
      <w:r w:rsidRPr="00F16BFD">
        <w:rPr>
          <w:vertAlign w:val="subscript"/>
        </w:rPr>
        <w:t>CO2</w:t>
      </w:r>
      <w:r w:rsidRPr="00F16BFD">
        <w:t>/kWh</w:t>
      </w:r>
    </w:p>
    <w:p w14:paraId="37CE408A" w14:textId="77777777" w:rsidR="00015ECC" w:rsidRPr="00F16BFD" w:rsidRDefault="00015ECC" w:rsidP="008A0F26">
      <w:pPr>
        <w:pStyle w:val="Paragraphedeliste"/>
        <w:numPr>
          <w:ilvl w:val="0"/>
          <w:numId w:val="13"/>
        </w:numPr>
        <w:spacing w:after="160" w:line="259" w:lineRule="auto"/>
        <w:jc w:val="left"/>
      </w:pPr>
      <w:r w:rsidRPr="00F16BFD">
        <w:t>Pour les ENR de récupération, le tableau suivant résume le calcul des émissions de GES évités par tonne d’ordures ménagères basé sur le rapport d’exploitation du CVD de THIVERVAL-GRIGNON 2014 et sur la base GES ADEME (</w:t>
      </w:r>
      <w:hyperlink r:id="rId70" w:history="1">
        <w:r w:rsidRPr="00F16BFD">
          <w:rPr>
            <w:rStyle w:val="Lienhypertexte"/>
          </w:rPr>
          <w:t>http://www.bilans-ges.ademe.fr/documentation/UPLOAD_DOC_FR/index.htm?emissions_evitees.htm</w:t>
        </w:r>
      </w:hyperlink>
      <w:r w:rsidRPr="00F16BFD">
        <w:t>)</w:t>
      </w:r>
    </w:p>
    <w:tbl>
      <w:tblPr>
        <w:tblW w:w="9628" w:type="dxa"/>
        <w:tblCellMar>
          <w:left w:w="70" w:type="dxa"/>
          <w:right w:w="70" w:type="dxa"/>
        </w:tblCellMar>
        <w:tblLook w:val="04A0" w:firstRow="1" w:lastRow="0" w:firstColumn="1" w:lastColumn="0" w:noHBand="0" w:noVBand="1"/>
      </w:tblPr>
      <w:tblGrid>
        <w:gridCol w:w="1985"/>
        <w:gridCol w:w="1808"/>
        <w:gridCol w:w="1945"/>
        <w:gridCol w:w="1945"/>
        <w:gridCol w:w="1945"/>
      </w:tblGrid>
      <w:tr w:rsidR="00015ECC" w:rsidRPr="002054B1" w14:paraId="617EE856" w14:textId="77777777" w:rsidTr="006212D0">
        <w:trPr>
          <w:trHeight w:val="300"/>
        </w:trPr>
        <w:tc>
          <w:tcPr>
            <w:tcW w:w="1985" w:type="dxa"/>
            <w:tcBorders>
              <w:top w:val="nil"/>
              <w:left w:val="nil"/>
              <w:bottom w:val="nil"/>
              <w:right w:val="nil"/>
            </w:tcBorders>
            <w:shd w:val="clear" w:color="auto" w:fill="auto"/>
            <w:noWrap/>
            <w:vAlign w:val="center"/>
            <w:hideMark/>
          </w:tcPr>
          <w:p w14:paraId="7E8ECDE3" w14:textId="77777777" w:rsidR="00015ECC" w:rsidRPr="002054B1" w:rsidRDefault="00015ECC" w:rsidP="006212D0">
            <w:pPr>
              <w:jc w:val="left"/>
              <w:rPr>
                <w:rFonts w:eastAsia="Times New Roman" w:cs="Calibri"/>
                <w:color w:val="000000"/>
              </w:rPr>
            </w:pPr>
            <w:r w:rsidRPr="002054B1">
              <w:rPr>
                <w:rFonts w:eastAsia="Times New Roman" w:cs="Calibri"/>
                <w:color w:val="000000"/>
              </w:rPr>
              <w:t>Année : 2014</w:t>
            </w:r>
          </w:p>
        </w:tc>
        <w:tc>
          <w:tcPr>
            <w:tcW w:w="1808" w:type="dxa"/>
            <w:tcBorders>
              <w:top w:val="nil"/>
              <w:left w:val="nil"/>
              <w:bottom w:val="nil"/>
              <w:right w:val="nil"/>
            </w:tcBorders>
            <w:shd w:val="clear" w:color="auto" w:fill="auto"/>
            <w:noWrap/>
            <w:vAlign w:val="center"/>
            <w:hideMark/>
          </w:tcPr>
          <w:p w14:paraId="477D82E9" w14:textId="77777777" w:rsidR="00015ECC" w:rsidRPr="002054B1" w:rsidRDefault="00015ECC" w:rsidP="006212D0">
            <w:pPr>
              <w:jc w:val="left"/>
              <w:rPr>
                <w:rFonts w:eastAsia="Times New Roman" w:cs="Calibri"/>
                <w:color w:val="000000"/>
              </w:rPr>
            </w:pPr>
          </w:p>
        </w:tc>
        <w:tc>
          <w:tcPr>
            <w:tcW w:w="1945" w:type="dxa"/>
            <w:tcBorders>
              <w:top w:val="nil"/>
              <w:left w:val="nil"/>
              <w:bottom w:val="nil"/>
              <w:right w:val="nil"/>
            </w:tcBorders>
            <w:shd w:val="clear" w:color="auto" w:fill="auto"/>
            <w:noWrap/>
            <w:vAlign w:val="center"/>
            <w:hideMark/>
          </w:tcPr>
          <w:p w14:paraId="351411D1" w14:textId="77777777" w:rsidR="00015ECC" w:rsidRPr="002054B1" w:rsidRDefault="00015ECC" w:rsidP="006212D0">
            <w:pPr>
              <w:jc w:val="left"/>
              <w:rPr>
                <w:rFonts w:ascii="Times New Roman" w:eastAsia="Times New Roman" w:hAnsi="Times New Roman"/>
                <w:sz w:val="20"/>
                <w:szCs w:val="20"/>
              </w:rPr>
            </w:pPr>
          </w:p>
        </w:tc>
        <w:tc>
          <w:tcPr>
            <w:tcW w:w="1945" w:type="dxa"/>
            <w:tcBorders>
              <w:top w:val="nil"/>
              <w:left w:val="nil"/>
              <w:bottom w:val="nil"/>
              <w:right w:val="nil"/>
            </w:tcBorders>
            <w:shd w:val="clear" w:color="auto" w:fill="auto"/>
            <w:noWrap/>
            <w:vAlign w:val="center"/>
            <w:hideMark/>
          </w:tcPr>
          <w:p w14:paraId="5DFC4B5A" w14:textId="77777777" w:rsidR="00015ECC" w:rsidRPr="002054B1" w:rsidRDefault="00015ECC" w:rsidP="006212D0">
            <w:pPr>
              <w:jc w:val="left"/>
              <w:rPr>
                <w:rFonts w:ascii="Times New Roman" w:eastAsia="Times New Roman" w:hAnsi="Times New Roman"/>
                <w:sz w:val="20"/>
                <w:szCs w:val="20"/>
              </w:rPr>
            </w:pPr>
          </w:p>
        </w:tc>
        <w:tc>
          <w:tcPr>
            <w:tcW w:w="1945" w:type="dxa"/>
            <w:tcBorders>
              <w:top w:val="nil"/>
              <w:left w:val="nil"/>
              <w:bottom w:val="nil"/>
              <w:right w:val="nil"/>
            </w:tcBorders>
            <w:shd w:val="clear" w:color="auto" w:fill="auto"/>
            <w:noWrap/>
            <w:vAlign w:val="center"/>
            <w:hideMark/>
          </w:tcPr>
          <w:p w14:paraId="32E3A007" w14:textId="77777777" w:rsidR="00015ECC" w:rsidRPr="002054B1" w:rsidRDefault="00015ECC" w:rsidP="006212D0">
            <w:pPr>
              <w:jc w:val="left"/>
              <w:rPr>
                <w:rFonts w:ascii="Times New Roman" w:eastAsia="Times New Roman" w:hAnsi="Times New Roman"/>
                <w:sz w:val="20"/>
                <w:szCs w:val="20"/>
              </w:rPr>
            </w:pPr>
          </w:p>
        </w:tc>
      </w:tr>
      <w:tr w:rsidR="00015ECC" w:rsidRPr="002054B1" w14:paraId="1FE897BE" w14:textId="77777777" w:rsidTr="006212D0">
        <w:trPr>
          <w:trHeight w:val="300"/>
        </w:trPr>
        <w:tc>
          <w:tcPr>
            <w:tcW w:w="1985" w:type="dxa"/>
            <w:tcBorders>
              <w:top w:val="nil"/>
              <w:left w:val="nil"/>
              <w:bottom w:val="nil"/>
              <w:right w:val="nil"/>
            </w:tcBorders>
            <w:shd w:val="clear" w:color="auto" w:fill="auto"/>
            <w:noWrap/>
            <w:vAlign w:val="center"/>
            <w:hideMark/>
          </w:tcPr>
          <w:p w14:paraId="5CA40322" w14:textId="77777777" w:rsidR="00015ECC" w:rsidRPr="002054B1" w:rsidRDefault="00015ECC" w:rsidP="006212D0">
            <w:pPr>
              <w:jc w:val="left"/>
              <w:rPr>
                <w:rFonts w:ascii="Times New Roman" w:eastAsia="Times New Roman" w:hAnsi="Times New Roman"/>
                <w:sz w:val="20"/>
                <w:szCs w:val="20"/>
              </w:rPr>
            </w:pPr>
          </w:p>
        </w:tc>
        <w:tc>
          <w:tcPr>
            <w:tcW w:w="3753"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B190BAA" w14:textId="77777777" w:rsidR="00015ECC" w:rsidRPr="002054B1" w:rsidRDefault="00015ECC" w:rsidP="006212D0">
            <w:pPr>
              <w:jc w:val="center"/>
              <w:rPr>
                <w:rFonts w:eastAsia="Times New Roman" w:cs="Calibri"/>
                <w:b/>
                <w:bCs/>
                <w:color w:val="000000"/>
              </w:rPr>
            </w:pPr>
            <w:r w:rsidRPr="002054B1">
              <w:rPr>
                <w:rFonts w:eastAsia="Times New Roman" w:cs="Calibri"/>
                <w:b/>
                <w:bCs/>
                <w:color w:val="000000"/>
              </w:rPr>
              <w:t>Thermique</w:t>
            </w:r>
          </w:p>
        </w:tc>
        <w:tc>
          <w:tcPr>
            <w:tcW w:w="389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2AE14A35" w14:textId="77777777" w:rsidR="00015ECC" w:rsidRPr="002054B1" w:rsidRDefault="00015ECC" w:rsidP="006212D0">
            <w:pPr>
              <w:jc w:val="center"/>
              <w:rPr>
                <w:rFonts w:eastAsia="Times New Roman" w:cs="Calibri"/>
                <w:b/>
                <w:bCs/>
                <w:color w:val="000000"/>
              </w:rPr>
            </w:pPr>
            <w:r w:rsidRPr="002054B1">
              <w:rPr>
                <w:rFonts w:eastAsia="Times New Roman" w:cs="Calibri"/>
                <w:b/>
                <w:bCs/>
                <w:color w:val="000000"/>
              </w:rPr>
              <w:t>Electrique</w:t>
            </w:r>
          </w:p>
        </w:tc>
      </w:tr>
      <w:tr w:rsidR="00015ECC" w:rsidRPr="002054B1" w14:paraId="5D8D8391" w14:textId="77777777" w:rsidTr="006212D0">
        <w:trPr>
          <w:trHeight w:val="300"/>
        </w:trPr>
        <w:tc>
          <w:tcPr>
            <w:tcW w:w="1985" w:type="dxa"/>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39120840" w14:textId="77777777" w:rsidR="00015ECC" w:rsidRPr="002054B1" w:rsidRDefault="00015ECC" w:rsidP="006212D0">
            <w:pPr>
              <w:jc w:val="left"/>
              <w:rPr>
                <w:rFonts w:eastAsia="Times New Roman" w:cs="Calibri"/>
                <w:b/>
                <w:bCs/>
                <w:color w:val="FFFFFF"/>
              </w:rPr>
            </w:pPr>
            <w:r w:rsidRPr="002054B1">
              <w:rPr>
                <w:rFonts w:eastAsia="Times New Roman" w:cs="Calibri"/>
                <w:b/>
                <w:bCs/>
                <w:color w:val="FFFFFF"/>
              </w:rPr>
              <w:t>Emission CO2</w:t>
            </w:r>
          </w:p>
        </w:tc>
        <w:tc>
          <w:tcPr>
            <w:tcW w:w="1808" w:type="dxa"/>
            <w:tcBorders>
              <w:top w:val="nil"/>
              <w:left w:val="nil"/>
              <w:bottom w:val="single" w:sz="4" w:space="0" w:color="auto"/>
              <w:right w:val="single" w:sz="4" w:space="0" w:color="auto"/>
            </w:tcBorders>
            <w:shd w:val="clear" w:color="000000" w:fill="F2F2F2"/>
            <w:noWrap/>
            <w:vAlign w:val="center"/>
            <w:hideMark/>
          </w:tcPr>
          <w:p w14:paraId="03D349E2" w14:textId="77777777" w:rsidR="00015ECC" w:rsidRPr="002054B1" w:rsidRDefault="00015ECC" w:rsidP="006212D0">
            <w:pPr>
              <w:jc w:val="left"/>
              <w:rPr>
                <w:rFonts w:eastAsia="Times New Roman" w:cs="Calibri"/>
                <w:b/>
                <w:bCs/>
                <w:color w:val="000000"/>
              </w:rPr>
            </w:pPr>
            <w:r w:rsidRPr="002054B1">
              <w:rPr>
                <w:rFonts w:eastAsia="Times New Roman" w:cs="Calibri"/>
                <w:b/>
                <w:bCs/>
                <w:color w:val="000000"/>
              </w:rPr>
              <w:t>Consommée</w:t>
            </w:r>
          </w:p>
        </w:tc>
        <w:tc>
          <w:tcPr>
            <w:tcW w:w="1945" w:type="dxa"/>
            <w:tcBorders>
              <w:top w:val="nil"/>
              <w:left w:val="nil"/>
              <w:bottom w:val="single" w:sz="4" w:space="0" w:color="auto"/>
              <w:right w:val="single" w:sz="4" w:space="0" w:color="auto"/>
            </w:tcBorders>
            <w:shd w:val="clear" w:color="000000" w:fill="F2F2F2"/>
            <w:noWrap/>
            <w:vAlign w:val="center"/>
            <w:hideMark/>
          </w:tcPr>
          <w:p w14:paraId="5BC61347" w14:textId="77777777" w:rsidR="00015ECC" w:rsidRPr="002054B1" w:rsidRDefault="00015ECC" w:rsidP="006212D0">
            <w:pPr>
              <w:jc w:val="left"/>
              <w:rPr>
                <w:rFonts w:eastAsia="Times New Roman" w:cs="Calibri"/>
                <w:b/>
                <w:bCs/>
                <w:color w:val="000000"/>
              </w:rPr>
            </w:pPr>
            <w:r w:rsidRPr="002054B1">
              <w:rPr>
                <w:rFonts w:eastAsia="Times New Roman" w:cs="Calibri"/>
                <w:b/>
                <w:bCs/>
                <w:color w:val="000000"/>
              </w:rPr>
              <w:t>Valorisée</w:t>
            </w:r>
          </w:p>
        </w:tc>
        <w:tc>
          <w:tcPr>
            <w:tcW w:w="1945" w:type="dxa"/>
            <w:tcBorders>
              <w:top w:val="nil"/>
              <w:left w:val="nil"/>
              <w:bottom w:val="single" w:sz="4" w:space="0" w:color="auto"/>
              <w:right w:val="single" w:sz="4" w:space="0" w:color="auto"/>
            </w:tcBorders>
            <w:shd w:val="clear" w:color="000000" w:fill="F2F2F2"/>
            <w:noWrap/>
            <w:vAlign w:val="center"/>
            <w:hideMark/>
          </w:tcPr>
          <w:p w14:paraId="58DE8320" w14:textId="77777777" w:rsidR="00015ECC" w:rsidRPr="002054B1" w:rsidRDefault="00015ECC" w:rsidP="006212D0">
            <w:pPr>
              <w:jc w:val="left"/>
              <w:rPr>
                <w:rFonts w:eastAsia="Times New Roman" w:cs="Calibri"/>
                <w:b/>
                <w:bCs/>
                <w:color w:val="000000"/>
              </w:rPr>
            </w:pPr>
            <w:r w:rsidRPr="002054B1">
              <w:rPr>
                <w:rFonts w:eastAsia="Times New Roman" w:cs="Calibri"/>
                <w:b/>
                <w:bCs/>
                <w:color w:val="000000"/>
              </w:rPr>
              <w:t>Consommé</w:t>
            </w:r>
          </w:p>
        </w:tc>
        <w:tc>
          <w:tcPr>
            <w:tcW w:w="1945" w:type="dxa"/>
            <w:tcBorders>
              <w:top w:val="nil"/>
              <w:left w:val="nil"/>
              <w:bottom w:val="single" w:sz="4" w:space="0" w:color="auto"/>
              <w:right w:val="single" w:sz="4" w:space="0" w:color="auto"/>
            </w:tcBorders>
            <w:shd w:val="clear" w:color="000000" w:fill="F2F2F2"/>
            <w:noWrap/>
            <w:vAlign w:val="center"/>
            <w:hideMark/>
          </w:tcPr>
          <w:p w14:paraId="6B5957E3" w14:textId="77777777" w:rsidR="00015ECC" w:rsidRPr="002054B1" w:rsidRDefault="00015ECC" w:rsidP="006212D0">
            <w:pPr>
              <w:jc w:val="left"/>
              <w:rPr>
                <w:rFonts w:eastAsia="Times New Roman" w:cs="Calibri"/>
                <w:b/>
                <w:bCs/>
                <w:color w:val="000000"/>
              </w:rPr>
            </w:pPr>
            <w:r w:rsidRPr="002054B1">
              <w:rPr>
                <w:rFonts w:eastAsia="Times New Roman" w:cs="Calibri"/>
                <w:b/>
                <w:bCs/>
                <w:color w:val="000000"/>
              </w:rPr>
              <w:t>Valorisé</w:t>
            </w:r>
          </w:p>
        </w:tc>
      </w:tr>
      <w:tr w:rsidR="00015ECC" w:rsidRPr="002054B1" w14:paraId="4CD41606" w14:textId="77777777" w:rsidTr="006212D0">
        <w:trPr>
          <w:trHeight w:val="300"/>
        </w:trPr>
        <w:tc>
          <w:tcPr>
            <w:tcW w:w="1985" w:type="dxa"/>
            <w:tcBorders>
              <w:top w:val="nil"/>
              <w:left w:val="single" w:sz="4" w:space="0" w:color="auto"/>
              <w:bottom w:val="single" w:sz="4" w:space="0" w:color="auto"/>
              <w:right w:val="single" w:sz="4" w:space="0" w:color="auto"/>
            </w:tcBorders>
            <w:shd w:val="clear" w:color="000000" w:fill="5B9BD5"/>
            <w:noWrap/>
            <w:vAlign w:val="center"/>
            <w:hideMark/>
          </w:tcPr>
          <w:p w14:paraId="18FD454B" w14:textId="77777777" w:rsidR="00015ECC" w:rsidRPr="002054B1" w:rsidRDefault="00015ECC" w:rsidP="006212D0">
            <w:pPr>
              <w:jc w:val="left"/>
              <w:rPr>
                <w:rFonts w:eastAsia="Times New Roman" w:cs="Calibri"/>
                <w:b/>
                <w:bCs/>
                <w:color w:val="FFFFFF"/>
              </w:rPr>
            </w:pPr>
            <w:r w:rsidRPr="002054B1">
              <w:rPr>
                <w:rFonts w:eastAsia="Times New Roman" w:cs="Calibri"/>
                <w:b/>
                <w:bCs/>
                <w:color w:val="FFFFFF"/>
              </w:rPr>
              <w:t>Emissions évitées</w:t>
            </w:r>
          </w:p>
        </w:tc>
        <w:tc>
          <w:tcPr>
            <w:tcW w:w="1808" w:type="dxa"/>
            <w:tcBorders>
              <w:top w:val="nil"/>
              <w:left w:val="nil"/>
              <w:bottom w:val="single" w:sz="4" w:space="0" w:color="auto"/>
              <w:right w:val="single" w:sz="4" w:space="0" w:color="auto"/>
            </w:tcBorders>
            <w:shd w:val="clear" w:color="auto" w:fill="auto"/>
            <w:noWrap/>
            <w:vAlign w:val="center"/>
            <w:hideMark/>
          </w:tcPr>
          <w:p w14:paraId="47580C23" w14:textId="77777777" w:rsidR="00015ECC" w:rsidRPr="002054B1" w:rsidRDefault="00015ECC" w:rsidP="006212D0">
            <w:pPr>
              <w:jc w:val="right"/>
              <w:rPr>
                <w:rFonts w:eastAsia="Times New Roman" w:cs="Calibri"/>
                <w:color w:val="000000"/>
              </w:rPr>
            </w:pPr>
            <w:r w:rsidRPr="002054B1">
              <w:rPr>
                <w:rFonts w:eastAsia="Times New Roman" w:cs="Calibri"/>
                <w:color w:val="000000"/>
              </w:rPr>
              <w:t>290 kg CO2/t</w:t>
            </w:r>
          </w:p>
        </w:tc>
        <w:tc>
          <w:tcPr>
            <w:tcW w:w="1945" w:type="dxa"/>
            <w:tcBorders>
              <w:top w:val="nil"/>
              <w:left w:val="nil"/>
              <w:bottom w:val="single" w:sz="4" w:space="0" w:color="auto"/>
              <w:right w:val="single" w:sz="4" w:space="0" w:color="auto"/>
            </w:tcBorders>
            <w:shd w:val="clear" w:color="000000" w:fill="FFF2CC"/>
            <w:noWrap/>
            <w:vAlign w:val="center"/>
            <w:hideMark/>
          </w:tcPr>
          <w:p w14:paraId="17D675E8" w14:textId="77777777" w:rsidR="00015ECC" w:rsidRPr="002054B1" w:rsidRDefault="00015ECC" w:rsidP="006212D0">
            <w:pPr>
              <w:jc w:val="right"/>
              <w:rPr>
                <w:rFonts w:eastAsia="Times New Roman" w:cs="Calibri"/>
                <w:color w:val="000000"/>
              </w:rPr>
            </w:pPr>
            <w:r w:rsidRPr="002054B1">
              <w:rPr>
                <w:rFonts w:eastAsia="Times New Roman" w:cs="Calibri"/>
                <w:color w:val="000000"/>
              </w:rPr>
              <w:t>290 kg CO2/t</w:t>
            </w:r>
          </w:p>
        </w:tc>
        <w:tc>
          <w:tcPr>
            <w:tcW w:w="1945" w:type="dxa"/>
            <w:tcBorders>
              <w:top w:val="nil"/>
              <w:left w:val="nil"/>
              <w:bottom w:val="single" w:sz="4" w:space="0" w:color="auto"/>
              <w:right w:val="single" w:sz="4" w:space="0" w:color="auto"/>
            </w:tcBorders>
            <w:shd w:val="clear" w:color="auto" w:fill="auto"/>
            <w:noWrap/>
            <w:vAlign w:val="center"/>
            <w:hideMark/>
          </w:tcPr>
          <w:p w14:paraId="1975FAEF" w14:textId="77777777" w:rsidR="00015ECC" w:rsidRPr="002054B1" w:rsidRDefault="00015ECC" w:rsidP="006212D0">
            <w:pPr>
              <w:jc w:val="right"/>
              <w:rPr>
                <w:rFonts w:eastAsia="Times New Roman" w:cs="Calibri"/>
                <w:color w:val="000000"/>
              </w:rPr>
            </w:pPr>
            <w:r w:rsidRPr="002054B1">
              <w:rPr>
                <w:rFonts w:eastAsia="Times New Roman" w:cs="Calibri"/>
                <w:color w:val="000000"/>
              </w:rPr>
              <w:t>33 kg CO2/t</w:t>
            </w:r>
          </w:p>
        </w:tc>
        <w:tc>
          <w:tcPr>
            <w:tcW w:w="1945" w:type="dxa"/>
            <w:tcBorders>
              <w:top w:val="nil"/>
              <w:left w:val="nil"/>
              <w:bottom w:val="single" w:sz="4" w:space="0" w:color="auto"/>
              <w:right w:val="single" w:sz="4" w:space="0" w:color="auto"/>
            </w:tcBorders>
            <w:shd w:val="clear" w:color="auto" w:fill="auto"/>
            <w:noWrap/>
            <w:vAlign w:val="center"/>
            <w:hideMark/>
          </w:tcPr>
          <w:p w14:paraId="5E285865" w14:textId="77777777" w:rsidR="00015ECC" w:rsidRPr="002054B1" w:rsidRDefault="00015ECC" w:rsidP="006212D0">
            <w:pPr>
              <w:jc w:val="right"/>
              <w:rPr>
                <w:rFonts w:eastAsia="Times New Roman" w:cs="Calibri"/>
                <w:color w:val="000000"/>
              </w:rPr>
            </w:pPr>
            <w:r w:rsidRPr="002054B1">
              <w:rPr>
                <w:rFonts w:eastAsia="Times New Roman" w:cs="Calibri"/>
                <w:color w:val="000000"/>
              </w:rPr>
              <w:t>33 kg CO2/t</w:t>
            </w:r>
          </w:p>
        </w:tc>
      </w:tr>
      <w:tr w:rsidR="00015ECC" w:rsidRPr="002054B1" w14:paraId="1BB34CE5" w14:textId="77777777" w:rsidTr="006212D0">
        <w:trPr>
          <w:trHeight w:val="300"/>
        </w:trPr>
        <w:tc>
          <w:tcPr>
            <w:tcW w:w="1985" w:type="dxa"/>
            <w:tcBorders>
              <w:top w:val="nil"/>
              <w:left w:val="single" w:sz="4" w:space="0" w:color="auto"/>
              <w:bottom w:val="single" w:sz="4" w:space="0" w:color="auto"/>
              <w:right w:val="single" w:sz="4" w:space="0" w:color="auto"/>
            </w:tcBorders>
            <w:shd w:val="clear" w:color="000000" w:fill="5B9BD5"/>
            <w:noWrap/>
            <w:vAlign w:val="center"/>
            <w:hideMark/>
          </w:tcPr>
          <w:p w14:paraId="7F5DBD44" w14:textId="77777777" w:rsidR="00015ECC" w:rsidRPr="002054B1" w:rsidRDefault="00015ECC" w:rsidP="006212D0">
            <w:pPr>
              <w:jc w:val="left"/>
              <w:rPr>
                <w:rFonts w:eastAsia="Times New Roman" w:cs="Calibri"/>
                <w:b/>
                <w:bCs/>
                <w:color w:val="FFFFFF"/>
              </w:rPr>
            </w:pPr>
            <w:r w:rsidRPr="002054B1">
              <w:rPr>
                <w:rFonts w:eastAsia="Times New Roman" w:cs="Calibri"/>
                <w:b/>
                <w:bCs/>
                <w:color w:val="FFFFFF"/>
              </w:rPr>
              <w:t>Tonnage OM</w:t>
            </w:r>
          </w:p>
        </w:tc>
        <w:tc>
          <w:tcPr>
            <w:tcW w:w="7643" w:type="dxa"/>
            <w:gridSpan w:val="4"/>
            <w:tcBorders>
              <w:top w:val="single" w:sz="4" w:space="0" w:color="auto"/>
              <w:left w:val="nil"/>
              <w:bottom w:val="single" w:sz="4" w:space="0" w:color="auto"/>
              <w:right w:val="single" w:sz="4" w:space="0" w:color="auto"/>
            </w:tcBorders>
            <w:shd w:val="clear" w:color="auto" w:fill="auto"/>
            <w:noWrap/>
            <w:vAlign w:val="center"/>
            <w:hideMark/>
          </w:tcPr>
          <w:p w14:paraId="4A32D8C8" w14:textId="77777777" w:rsidR="00015ECC" w:rsidRPr="002054B1" w:rsidRDefault="00015ECC" w:rsidP="006212D0">
            <w:pPr>
              <w:jc w:val="center"/>
              <w:rPr>
                <w:rFonts w:eastAsia="Times New Roman" w:cs="Calibri"/>
                <w:color w:val="000000"/>
              </w:rPr>
            </w:pPr>
            <w:r w:rsidRPr="002054B1">
              <w:rPr>
                <w:rFonts w:eastAsia="Times New Roman" w:cs="Calibri"/>
                <w:color w:val="000000"/>
              </w:rPr>
              <w:t>167 776 t</w:t>
            </w:r>
          </w:p>
        </w:tc>
      </w:tr>
      <w:tr w:rsidR="00015ECC" w:rsidRPr="002054B1" w14:paraId="576F8397" w14:textId="77777777" w:rsidTr="006212D0">
        <w:trPr>
          <w:trHeight w:val="300"/>
        </w:trPr>
        <w:tc>
          <w:tcPr>
            <w:tcW w:w="1985" w:type="dxa"/>
            <w:tcBorders>
              <w:top w:val="nil"/>
              <w:left w:val="single" w:sz="4" w:space="0" w:color="auto"/>
              <w:bottom w:val="single" w:sz="4" w:space="0" w:color="auto"/>
              <w:right w:val="single" w:sz="4" w:space="0" w:color="auto"/>
            </w:tcBorders>
            <w:shd w:val="clear" w:color="000000" w:fill="5B9BD5"/>
            <w:noWrap/>
            <w:vAlign w:val="center"/>
            <w:hideMark/>
          </w:tcPr>
          <w:p w14:paraId="4899B7AC" w14:textId="77777777" w:rsidR="00015ECC" w:rsidRPr="002054B1" w:rsidRDefault="00015ECC" w:rsidP="006212D0">
            <w:pPr>
              <w:jc w:val="left"/>
              <w:rPr>
                <w:rFonts w:eastAsia="Times New Roman" w:cs="Calibri"/>
                <w:b/>
                <w:bCs/>
                <w:color w:val="FFFFFF"/>
              </w:rPr>
            </w:pPr>
            <w:r>
              <w:rPr>
                <w:rFonts w:eastAsia="Times New Roman" w:cs="Calibri"/>
                <w:b/>
                <w:bCs/>
                <w:color w:val="FFFFFF"/>
              </w:rPr>
              <w:t>Chaleur produite</w:t>
            </w:r>
          </w:p>
        </w:tc>
        <w:tc>
          <w:tcPr>
            <w:tcW w:w="1808" w:type="dxa"/>
            <w:tcBorders>
              <w:top w:val="nil"/>
              <w:left w:val="nil"/>
              <w:bottom w:val="single" w:sz="4" w:space="0" w:color="auto"/>
              <w:right w:val="single" w:sz="4" w:space="0" w:color="auto"/>
            </w:tcBorders>
            <w:shd w:val="clear" w:color="auto" w:fill="auto"/>
            <w:noWrap/>
            <w:vAlign w:val="center"/>
            <w:hideMark/>
          </w:tcPr>
          <w:p w14:paraId="4C280A17" w14:textId="77777777" w:rsidR="00015ECC" w:rsidRPr="002054B1" w:rsidRDefault="00015ECC" w:rsidP="006212D0">
            <w:pPr>
              <w:jc w:val="right"/>
              <w:rPr>
                <w:rFonts w:eastAsia="Times New Roman" w:cs="Calibri"/>
                <w:color w:val="000000"/>
              </w:rPr>
            </w:pPr>
            <w:r w:rsidRPr="002054B1">
              <w:rPr>
                <w:rFonts w:eastAsia="Times New Roman" w:cs="Calibri"/>
                <w:color w:val="000000"/>
              </w:rPr>
              <w:t>69 000 MWh</w:t>
            </w:r>
          </w:p>
        </w:tc>
        <w:tc>
          <w:tcPr>
            <w:tcW w:w="1945" w:type="dxa"/>
            <w:tcBorders>
              <w:top w:val="nil"/>
              <w:left w:val="nil"/>
              <w:bottom w:val="single" w:sz="4" w:space="0" w:color="auto"/>
              <w:right w:val="single" w:sz="4" w:space="0" w:color="auto"/>
            </w:tcBorders>
            <w:shd w:val="clear" w:color="000000" w:fill="FFF2CC"/>
            <w:noWrap/>
            <w:vAlign w:val="center"/>
            <w:hideMark/>
          </w:tcPr>
          <w:p w14:paraId="3717EE92" w14:textId="77777777" w:rsidR="00015ECC" w:rsidRPr="002054B1" w:rsidRDefault="00015ECC" w:rsidP="006212D0">
            <w:pPr>
              <w:jc w:val="right"/>
              <w:rPr>
                <w:rFonts w:eastAsia="Times New Roman" w:cs="Calibri"/>
                <w:color w:val="000000"/>
              </w:rPr>
            </w:pPr>
            <w:r w:rsidRPr="002054B1">
              <w:rPr>
                <w:rFonts w:eastAsia="Times New Roman" w:cs="Calibri"/>
                <w:color w:val="000000"/>
              </w:rPr>
              <w:t>48 845 MWh</w:t>
            </w:r>
          </w:p>
        </w:tc>
        <w:tc>
          <w:tcPr>
            <w:tcW w:w="1945" w:type="dxa"/>
            <w:tcBorders>
              <w:top w:val="nil"/>
              <w:left w:val="nil"/>
              <w:bottom w:val="single" w:sz="4" w:space="0" w:color="auto"/>
              <w:right w:val="single" w:sz="4" w:space="0" w:color="auto"/>
            </w:tcBorders>
            <w:shd w:val="clear" w:color="auto" w:fill="auto"/>
            <w:noWrap/>
            <w:vAlign w:val="center"/>
            <w:hideMark/>
          </w:tcPr>
          <w:p w14:paraId="2C282531" w14:textId="77777777" w:rsidR="00015ECC" w:rsidRPr="002054B1" w:rsidRDefault="00015ECC" w:rsidP="006212D0">
            <w:pPr>
              <w:jc w:val="right"/>
              <w:rPr>
                <w:rFonts w:eastAsia="Times New Roman" w:cs="Calibri"/>
                <w:color w:val="000000"/>
              </w:rPr>
            </w:pPr>
            <w:r w:rsidRPr="002054B1">
              <w:rPr>
                <w:rFonts w:eastAsia="Times New Roman" w:cs="Calibri"/>
                <w:color w:val="000000"/>
              </w:rPr>
              <w:t>17 000 MWh</w:t>
            </w:r>
          </w:p>
        </w:tc>
        <w:tc>
          <w:tcPr>
            <w:tcW w:w="1945" w:type="dxa"/>
            <w:tcBorders>
              <w:top w:val="nil"/>
              <w:left w:val="nil"/>
              <w:bottom w:val="single" w:sz="4" w:space="0" w:color="auto"/>
              <w:right w:val="single" w:sz="4" w:space="0" w:color="auto"/>
            </w:tcBorders>
            <w:shd w:val="clear" w:color="auto" w:fill="auto"/>
            <w:noWrap/>
            <w:vAlign w:val="center"/>
            <w:hideMark/>
          </w:tcPr>
          <w:p w14:paraId="1B278D96" w14:textId="77777777" w:rsidR="00015ECC" w:rsidRPr="002054B1" w:rsidRDefault="00015ECC" w:rsidP="006212D0">
            <w:pPr>
              <w:jc w:val="right"/>
              <w:rPr>
                <w:rFonts w:eastAsia="Times New Roman" w:cs="Calibri"/>
                <w:color w:val="000000"/>
              </w:rPr>
            </w:pPr>
            <w:r w:rsidRPr="002054B1">
              <w:rPr>
                <w:rFonts w:eastAsia="Times New Roman" w:cs="Calibri"/>
                <w:color w:val="000000"/>
              </w:rPr>
              <w:t>28 382 MWh</w:t>
            </w:r>
          </w:p>
        </w:tc>
      </w:tr>
      <w:tr w:rsidR="00015ECC" w:rsidRPr="002054B1" w14:paraId="72C1EB6E" w14:textId="77777777" w:rsidTr="006212D0">
        <w:trPr>
          <w:trHeight w:val="300"/>
        </w:trPr>
        <w:tc>
          <w:tcPr>
            <w:tcW w:w="1985" w:type="dxa"/>
            <w:tcBorders>
              <w:top w:val="nil"/>
              <w:left w:val="single" w:sz="4" w:space="0" w:color="auto"/>
              <w:bottom w:val="single" w:sz="4" w:space="0" w:color="auto"/>
              <w:right w:val="single" w:sz="4" w:space="0" w:color="auto"/>
            </w:tcBorders>
            <w:shd w:val="clear" w:color="000000" w:fill="5B9BD5"/>
            <w:noWrap/>
            <w:vAlign w:val="center"/>
            <w:hideMark/>
          </w:tcPr>
          <w:p w14:paraId="6C18185C" w14:textId="77777777" w:rsidR="00015ECC" w:rsidRPr="002054B1" w:rsidRDefault="00015ECC" w:rsidP="006212D0">
            <w:pPr>
              <w:jc w:val="left"/>
              <w:rPr>
                <w:rFonts w:eastAsia="Times New Roman" w:cs="Calibri"/>
                <w:b/>
                <w:bCs/>
                <w:color w:val="FFFFFF"/>
              </w:rPr>
            </w:pPr>
            <w:r>
              <w:rPr>
                <w:rFonts w:eastAsia="Times New Roman" w:cs="Calibri"/>
                <w:b/>
                <w:bCs/>
                <w:color w:val="FFFFFF"/>
              </w:rPr>
              <w:t>Part chaleur</w:t>
            </w:r>
          </w:p>
        </w:tc>
        <w:tc>
          <w:tcPr>
            <w:tcW w:w="1808" w:type="dxa"/>
            <w:tcBorders>
              <w:top w:val="nil"/>
              <w:left w:val="nil"/>
              <w:bottom w:val="single" w:sz="4" w:space="0" w:color="auto"/>
              <w:right w:val="single" w:sz="4" w:space="0" w:color="auto"/>
            </w:tcBorders>
            <w:shd w:val="clear" w:color="auto" w:fill="auto"/>
            <w:noWrap/>
            <w:vAlign w:val="center"/>
            <w:hideMark/>
          </w:tcPr>
          <w:p w14:paraId="736B7FD3" w14:textId="77777777" w:rsidR="00015ECC" w:rsidRPr="002054B1" w:rsidRDefault="00015ECC" w:rsidP="006212D0">
            <w:pPr>
              <w:jc w:val="right"/>
              <w:rPr>
                <w:rFonts w:eastAsia="Times New Roman" w:cs="Calibri"/>
                <w:color w:val="000000"/>
              </w:rPr>
            </w:pPr>
            <w:r w:rsidRPr="002054B1">
              <w:rPr>
                <w:rFonts w:eastAsia="Times New Roman" w:cs="Calibri"/>
                <w:color w:val="000000"/>
              </w:rPr>
              <w:t>42%</w:t>
            </w:r>
          </w:p>
        </w:tc>
        <w:tc>
          <w:tcPr>
            <w:tcW w:w="1945" w:type="dxa"/>
            <w:tcBorders>
              <w:top w:val="nil"/>
              <w:left w:val="nil"/>
              <w:bottom w:val="single" w:sz="4" w:space="0" w:color="auto"/>
              <w:right w:val="single" w:sz="4" w:space="0" w:color="auto"/>
            </w:tcBorders>
            <w:shd w:val="clear" w:color="000000" w:fill="FFF2CC"/>
            <w:noWrap/>
            <w:vAlign w:val="center"/>
            <w:hideMark/>
          </w:tcPr>
          <w:p w14:paraId="7E13ABF9" w14:textId="77777777" w:rsidR="00015ECC" w:rsidRPr="002054B1" w:rsidRDefault="00015ECC" w:rsidP="006212D0">
            <w:pPr>
              <w:jc w:val="right"/>
              <w:rPr>
                <w:rFonts w:eastAsia="Times New Roman" w:cs="Calibri"/>
                <w:color w:val="000000"/>
              </w:rPr>
            </w:pPr>
            <w:r w:rsidRPr="002054B1">
              <w:rPr>
                <w:rFonts w:eastAsia="Times New Roman" w:cs="Calibri"/>
                <w:color w:val="000000"/>
              </w:rPr>
              <w:t>30%</w:t>
            </w:r>
          </w:p>
        </w:tc>
        <w:tc>
          <w:tcPr>
            <w:tcW w:w="1945" w:type="dxa"/>
            <w:tcBorders>
              <w:top w:val="nil"/>
              <w:left w:val="nil"/>
              <w:bottom w:val="single" w:sz="4" w:space="0" w:color="auto"/>
              <w:right w:val="single" w:sz="4" w:space="0" w:color="auto"/>
            </w:tcBorders>
            <w:shd w:val="clear" w:color="auto" w:fill="auto"/>
            <w:noWrap/>
            <w:vAlign w:val="center"/>
            <w:hideMark/>
          </w:tcPr>
          <w:p w14:paraId="53B96611" w14:textId="77777777" w:rsidR="00015ECC" w:rsidRPr="002054B1" w:rsidRDefault="00015ECC" w:rsidP="006212D0">
            <w:pPr>
              <w:jc w:val="right"/>
              <w:rPr>
                <w:rFonts w:eastAsia="Times New Roman" w:cs="Calibri"/>
                <w:color w:val="000000"/>
              </w:rPr>
            </w:pPr>
            <w:r w:rsidRPr="002054B1">
              <w:rPr>
                <w:rFonts w:eastAsia="Times New Roman" w:cs="Calibri"/>
                <w:color w:val="000000"/>
              </w:rPr>
              <w:t>10%</w:t>
            </w:r>
          </w:p>
        </w:tc>
        <w:tc>
          <w:tcPr>
            <w:tcW w:w="1945" w:type="dxa"/>
            <w:tcBorders>
              <w:top w:val="nil"/>
              <w:left w:val="nil"/>
              <w:bottom w:val="single" w:sz="4" w:space="0" w:color="auto"/>
              <w:right w:val="single" w:sz="4" w:space="0" w:color="auto"/>
            </w:tcBorders>
            <w:shd w:val="clear" w:color="auto" w:fill="auto"/>
            <w:noWrap/>
            <w:vAlign w:val="center"/>
            <w:hideMark/>
          </w:tcPr>
          <w:p w14:paraId="0A8D88B3" w14:textId="77777777" w:rsidR="00015ECC" w:rsidRPr="002054B1" w:rsidRDefault="00015ECC" w:rsidP="006212D0">
            <w:pPr>
              <w:jc w:val="right"/>
              <w:rPr>
                <w:rFonts w:eastAsia="Times New Roman" w:cs="Calibri"/>
                <w:color w:val="000000"/>
              </w:rPr>
            </w:pPr>
            <w:r w:rsidRPr="002054B1">
              <w:rPr>
                <w:rFonts w:eastAsia="Times New Roman" w:cs="Calibri"/>
                <w:color w:val="000000"/>
              </w:rPr>
              <w:t>17%</w:t>
            </w:r>
          </w:p>
        </w:tc>
      </w:tr>
      <w:tr w:rsidR="00015ECC" w:rsidRPr="002054B1" w14:paraId="77DF33E0" w14:textId="77777777" w:rsidTr="006212D0">
        <w:trPr>
          <w:trHeight w:val="300"/>
        </w:trPr>
        <w:tc>
          <w:tcPr>
            <w:tcW w:w="1985" w:type="dxa"/>
            <w:tcBorders>
              <w:top w:val="nil"/>
              <w:left w:val="single" w:sz="4" w:space="0" w:color="auto"/>
              <w:bottom w:val="single" w:sz="4" w:space="0" w:color="auto"/>
              <w:right w:val="single" w:sz="4" w:space="0" w:color="auto"/>
            </w:tcBorders>
            <w:shd w:val="clear" w:color="000000" w:fill="5B9BD5"/>
            <w:noWrap/>
            <w:vAlign w:val="center"/>
            <w:hideMark/>
          </w:tcPr>
          <w:p w14:paraId="1471C1D7" w14:textId="77777777" w:rsidR="00015ECC" w:rsidRPr="002054B1" w:rsidRDefault="00015ECC" w:rsidP="006212D0">
            <w:pPr>
              <w:jc w:val="left"/>
              <w:rPr>
                <w:rFonts w:eastAsia="Times New Roman" w:cs="Calibri"/>
                <w:b/>
                <w:bCs/>
                <w:color w:val="FFFFFF"/>
              </w:rPr>
            </w:pPr>
            <w:r w:rsidRPr="002054B1">
              <w:rPr>
                <w:rFonts w:eastAsia="Times New Roman" w:cs="Calibri"/>
                <w:b/>
                <w:bCs/>
                <w:color w:val="FFFFFF"/>
              </w:rPr>
              <w:t>Part tonnage OM</w:t>
            </w:r>
          </w:p>
        </w:tc>
        <w:tc>
          <w:tcPr>
            <w:tcW w:w="1808" w:type="dxa"/>
            <w:tcBorders>
              <w:top w:val="nil"/>
              <w:left w:val="nil"/>
              <w:bottom w:val="single" w:sz="4" w:space="0" w:color="auto"/>
              <w:right w:val="single" w:sz="4" w:space="0" w:color="auto"/>
            </w:tcBorders>
            <w:shd w:val="clear" w:color="auto" w:fill="auto"/>
            <w:noWrap/>
            <w:vAlign w:val="center"/>
            <w:hideMark/>
          </w:tcPr>
          <w:p w14:paraId="6B2617B7" w14:textId="77777777" w:rsidR="00015ECC" w:rsidRPr="002054B1" w:rsidRDefault="00015ECC" w:rsidP="006212D0">
            <w:pPr>
              <w:jc w:val="right"/>
              <w:rPr>
                <w:rFonts w:eastAsia="Times New Roman" w:cs="Calibri"/>
                <w:color w:val="000000"/>
              </w:rPr>
            </w:pPr>
            <w:r w:rsidRPr="002054B1">
              <w:rPr>
                <w:rFonts w:eastAsia="Times New Roman" w:cs="Calibri"/>
                <w:color w:val="000000"/>
              </w:rPr>
              <w:t>70 923 t</w:t>
            </w:r>
          </w:p>
        </w:tc>
        <w:tc>
          <w:tcPr>
            <w:tcW w:w="1945" w:type="dxa"/>
            <w:tcBorders>
              <w:top w:val="nil"/>
              <w:left w:val="nil"/>
              <w:bottom w:val="single" w:sz="4" w:space="0" w:color="auto"/>
              <w:right w:val="single" w:sz="4" w:space="0" w:color="auto"/>
            </w:tcBorders>
            <w:shd w:val="clear" w:color="000000" w:fill="FFF2CC"/>
            <w:noWrap/>
            <w:vAlign w:val="center"/>
            <w:hideMark/>
          </w:tcPr>
          <w:p w14:paraId="2F68B3AE" w14:textId="77777777" w:rsidR="00015ECC" w:rsidRPr="002054B1" w:rsidRDefault="00015ECC" w:rsidP="006212D0">
            <w:pPr>
              <w:jc w:val="right"/>
              <w:rPr>
                <w:rFonts w:eastAsia="Times New Roman" w:cs="Calibri"/>
                <w:color w:val="000000"/>
              </w:rPr>
            </w:pPr>
            <w:r w:rsidRPr="002054B1">
              <w:rPr>
                <w:rFonts w:eastAsia="Times New Roman" w:cs="Calibri"/>
                <w:color w:val="000000"/>
              </w:rPr>
              <w:t>50 206 t</w:t>
            </w:r>
          </w:p>
        </w:tc>
        <w:tc>
          <w:tcPr>
            <w:tcW w:w="1945" w:type="dxa"/>
            <w:tcBorders>
              <w:top w:val="nil"/>
              <w:left w:val="nil"/>
              <w:bottom w:val="single" w:sz="4" w:space="0" w:color="auto"/>
              <w:right w:val="single" w:sz="4" w:space="0" w:color="auto"/>
            </w:tcBorders>
            <w:shd w:val="clear" w:color="auto" w:fill="auto"/>
            <w:noWrap/>
            <w:vAlign w:val="center"/>
            <w:hideMark/>
          </w:tcPr>
          <w:p w14:paraId="5EC1D8C6" w14:textId="77777777" w:rsidR="00015ECC" w:rsidRPr="002054B1" w:rsidRDefault="00015ECC" w:rsidP="006212D0">
            <w:pPr>
              <w:jc w:val="right"/>
              <w:rPr>
                <w:rFonts w:eastAsia="Times New Roman" w:cs="Calibri"/>
                <w:color w:val="000000"/>
              </w:rPr>
            </w:pPr>
            <w:r w:rsidRPr="002054B1">
              <w:rPr>
                <w:rFonts w:eastAsia="Times New Roman" w:cs="Calibri"/>
                <w:color w:val="000000"/>
              </w:rPr>
              <w:t>17 474 t</w:t>
            </w:r>
          </w:p>
        </w:tc>
        <w:tc>
          <w:tcPr>
            <w:tcW w:w="1945" w:type="dxa"/>
            <w:tcBorders>
              <w:top w:val="nil"/>
              <w:left w:val="nil"/>
              <w:bottom w:val="single" w:sz="4" w:space="0" w:color="auto"/>
              <w:right w:val="single" w:sz="4" w:space="0" w:color="auto"/>
            </w:tcBorders>
            <w:shd w:val="clear" w:color="auto" w:fill="auto"/>
            <w:noWrap/>
            <w:vAlign w:val="center"/>
            <w:hideMark/>
          </w:tcPr>
          <w:p w14:paraId="4DA61778" w14:textId="77777777" w:rsidR="00015ECC" w:rsidRPr="002054B1" w:rsidRDefault="00015ECC" w:rsidP="006212D0">
            <w:pPr>
              <w:jc w:val="right"/>
              <w:rPr>
                <w:rFonts w:eastAsia="Times New Roman" w:cs="Calibri"/>
                <w:color w:val="000000"/>
              </w:rPr>
            </w:pPr>
            <w:r w:rsidRPr="002054B1">
              <w:rPr>
                <w:rFonts w:eastAsia="Times New Roman" w:cs="Calibri"/>
                <w:color w:val="000000"/>
              </w:rPr>
              <w:t>29 173 t</w:t>
            </w:r>
          </w:p>
        </w:tc>
      </w:tr>
      <w:tr w:rsidR="00015ECC" w:rsidRPr="002054B1" w14:paraId="735E7A30" w14:textId="77777777" w:rsidTr="006212D0">
        <w:trPr>
          <w:trHeight w:val="300"/>
        </w:trPr>
        <w:tc>
          <w:tcPr>
            <w:tcW w:w="1985" w:type="dxa"/>
            <w:vMerge w:val="restart"/>
            <w:tcBorders>
              <w:top w:val="nil"/>
              <w:left w:val="single" w:sz="4" w:space="0" w:color="auto"/>
              <w:bottom w:val="single" w:sz="4" w:space="0" w:color="000000"/>
              <w:right w:val="single" w:sz="4" w:space="0" w:color="auto"/>
            </w:tcBorders>
            <w:shd w:val="clear" w:color="000000" w:fill="5B9BD5"/>
            <w:noWrap/>
            <w:vAlign w:val="center"/>
            <w:hideMark/>
          </w:tcPr>
          <w:p w14:paraId="48D61E0C" w14:textId="77777777" w:rsidR="00015ECC" w:rsidRPr="002054B1" w:rsidRDefault="00015ECC" w:rsidP="006212D0">
            <w:pPr>
              <w:jc w:val="left"/>
              <w:rPr>
                <w:rFonts w:eastAsia="Times New Roman" w:cs="Calibri"/>
                <w:b/>
                <w:bCs/>
                <w:color w:val="FFFFFF"/>
              </w:rPr>
            </w:pPr>
            <w:r w:rsidRPr="002054B1">
              <w:rPr>
                <w:rFonts w:eastAsia="Times New Roman" w:cs="Calibri"/>
                <w:b/>
                <w:bCs/>
                <w:color w:val="FFFFFF"/>
              </w:rPr>
              <w:t>Emissions évitées</w:t>
            </w:r>
          </w:p>
        </w:tc>
        <w:tc>
          <w:tcPr>
            <w:tcW w:w="1808" w:type="dxa"/>
            <w:tcBorders>
              <w:top w:val="nil"/>
              <w:left w:val="nil"/>
              <w:bottom w:val="single" w:sz="4" w:space="0" w:color="auto"/>
              <w:right w:val="single" w:sz="4" w:space="0" w:color="auto"/>
            </w:tcBorders>
            <w:shd w:val="clear" w:color="auto" w:fill="auto"/>
            <w:noWrap/>
            <w:vAlign w:val="center"/>
            <w:hideMark/>
          </w:tcPr>
          <w:p w14:paraId="594B8DFF" w14:textId="77777777" w:rsidR="00015ECC" w:rsidRPr="002054B1" w:rsidRDefault="00015ECC" w:rsidP="006212D0">
            <w:pPr>
              <w:jc w:val="right"/>
              <w:rPr>
                <w:rFonts w:eastAsia="Times New Roman" w:cs="Calibri"/>
                <w:color w:val="000000"/>
              </w:rPr>
            </w:pPr>
            <w:r w:rsidRPr="002054B1">
              <w:rPr>
                <w:rFonts w:eastAsia="Times New Roman" w:cs="Calibri"/>
                <w:color w:val="000000"/>
              </w:rPr>
              <w:t>20 568 tCO2</w:t>
            </w:r>
          </w:p>
        </w:tc>
        <w:tc>
          <w:tcPr>
            <w:tcW w:w="1945" w:type="dxa"/>
            <w:tcBorders>
              <w:top w:val="nil"/>
              <w:left w:val="nil"/>
              <w:bottom w:val="single" w:sz="4" w:space="0" w:color="auto"/>
              <w:right w:val="single" w:sz="4" w:space="0" w:color="auto"/>
            </w:tcBorders>
            <w:shd w:val="clear" w:color="000000" w:fill="FFF2CC"/>
            <w:noWrap/>
            <w:vAlign w:val="center"/>
            <w:hideMark/>
          </w:tcPr>
          <w:p w14:paraId="42934F18" w14:textId="77777777" w:rsidR="00015ECC" w:rsidRPr="002054B1" w:rsidRDefault="00015ECC" w:rsidP="006212D0">
            <w:pPr>
              <w:jc w:val="right"/>
              <w:rPr>
                <w:rFonts w:eastAsia="Times New Roman" w:cs="Calibri"/>
                <w:color w:val="000000"/>
              </w:rPr>
            </w:pPr>
            <w:r w:rsidRPr="002054B1">
              <w:rPr>
                <w:rFonts w:eastAsia="Times New Roman" w:cs="Calibri"/>
                <w:color w:val="000000"/>
              </w:rPr>
              <w:t>14 560 tCO2</w:t>
            </w:r>
          </w:p>
        </w:tc>
        <w:tc>
          <w:tcPr>
            <w:tcW w:w="1945" w:type="dxa"/>
            <w:tcBorders>
              <w:top w:val="nil"/>
              <w:left w:val="nil"/>
              <w:bottom w:val="single" w:sz="4" w:space="0" w:color="auto"/>
              <w:right w:val="single" w:sz="4" w:space="0" w:color="auto"/>
            </w:tcBorders>
            <w:shd w:val="clear" w:color="auto" w:fill="auto"/>
            <w:noWrap/>
            <w:vAlign w:val="center"/>
            <w:hideMark/>
          </w:tcPr>
          <w:p w14:paraId="284E354B" w14:textId="77777777" w:rsidR="00015ECC" w:rsidRPr="002054B1" w:rsidRDefault="00015ECC" w:rsidP="006212D0">
            <w:pPr>
              <w:jc w:val="right"/>
              <w:rPr>
                <w:rFonts w:eastAsia="Times New Roman" w:cs="Calibri"/>
                <w:color w:val="000000"/>
              </w:rPr>
            </w:pPr>
            <w:r w:rsidRPr="002054B1">
              <w:rPr>
                <w:rFonts w:eastAsia="Times New Roman" w:cs="Calibri"/>
                <w:color w:val="000000"/>
              </w:rPr>
              <w:t>577 tCO2</w:t>
            </w:r>
          </w:p>
        </w:tc>
        <w:tc>
          <w:tcPr>
            <w:tcW w:w="1945" w:type="dxa"/>
            <w:tcBorders>
              <w:top w:val="nil"/>
              <w:left w:val="nil"/>
              <w:bottom w:val="single" w:sz="4" w:space="0" w:color="auto"/>
              <w:right w:val="single" w:sz="4" w:space="0" w:color="auto"/>
            </w:tcBorders>
            <w:shd w:val="clear" w:color="auto" w:fill="auto"/>
            <w:noWrap/>
            <w:vAlign w:val="center"/>
            <w:hideMark/>
          </w:tcPr>
          <w:p w14:paraId="5B5F5576" w14:textId="77777777" w:rsidR="00015ECC" w:rsidRPr="002054B1" w:rsidRDefault="00015ECC" w:rsidP="006212D0">
            <w:pPr>
              <w:jc w:val="right"/>
              <w:rPr>
                <w:rFonts w:eastAsia="Times New Roman" w:cs="Calibri"/>
                <w:color w:val="000000"/>
              </w:rPr>
            </w:pPr>
            <w:r w:rsidRPr="002054B1">
              <w:rPr>
                <w:rFonts w:eastAsia="Times New Roman" w:cs="Calibri"/>
                <w:color w:val="000000"/>
              </w:rPr>
              <w:t>963 tCO2</w:t>
            </w:r>
          </w:p>
        </w:tc>
      </w:tr>
      <w:tr w:rsidR="00015ECC" w:rsidRPr="002054B1" w14:paraId="200E3BA4" w14:textId="77777777" w:rsidTr="006212D0">
        <w:trPr>
          <w:trHeight w:val="300"/>
        </w:trPr>
        <w:tc>
          <w:tcPr>
            <w:tcW w:w="1985" w:type="dxa"/>
            <w:vMerge/>
            <w:tcBorders>
              <w:top w:val="nil"/>
              <w:left w:val="single" w:sz="4" w:space="0" w:color="auto"/>
              <w:bottom w:val="single" w:sz="4" w:space="0" w:color="000000"/>
              <w:right w:val="single" w:sz="4" w:space="0" w:color="auto"/>
            </w:tcBorders>
            <w:vAlign w:val="center"/>
            <w:hideMark/>
          </w:tcPr>
          <w:p w14:paraId="0A8279FA" w14:textId="77777777" w:rsidR="00015ECC" w:rsidRPr="002054B1" w:rsidRDefault="00015ECC" w:rsidP="006212D0">
            <w:pPr>
              <w:jc w:val="left"/>
              <w:rPr>
                <w:rFonts w:eastAsia="Times New Roman" w:cs="Calibri"/>
                <w:b/>
                <w:bCs/>
                <w:color w:val="FFFFFF"/>
              </w:rPr>
            </w:pPr>
          </w:p>
        </w:tc>
        <w:tc>
          <w:tcPr>
            <w:tcW w:w="1808" w:type="dxa"/>
            <w:tcBorders>
              <w:top w:val="nil"/>
              <w:left w:val="nil"/>
              <w:bottom w:val="single" w:sz="4" w:space="0" w:color="auto"/>
              <w:right w:val="single" w:sz="4" w:space="0" w:color="auto"/>
            </w:tcBorders>
            <w:shd w:val="clear" w:color="auto" w:fill="auto"/>
            <w:noWrap/>
            <w:vAlign w:val="center"/>
            <w:hideMark/>
          </w:tcPr>
          <w:p w14:paraId="4A8E2D15" w14:textId="77777777" w:rsidR="00015ECC" w:rsidRPr="002054B1" w:rsidRDefault="00015ECC" w:rsidP="006212D0">
            <w:pPr>
              <w:jc w:val="right"/>
              <w:rPr>
                <w:rFonts w:eastAsia="Times New Roman" w:cs="Calibri"/>
                <w:color w:val="000000"/>
              </w:rPr>
            </w:pPr>
            <w:r w:rsidRPr="002054B1">
              <w:rPr>
                <w:rFonts w:eastAsia="Times New Roman" w:cs="Calibri"/>
                <w:color w:val="000000"/>
              </w:rPr>
              <w:t>0,2981 tCO2/MWh</w:t>
            </w:r>
          </w:p>
        </w:tc>
        <w:tc>
          <w:tcPr>
            <w:tcW w:w="1945" w:type="dxa"/>
            <w:tcBorders>
              <w:top w:val="nil"/>
              <w:left w:val="nil"/>
              <w:bottom w:val="single" w:sz="4" w:space="0" w:color="auto"/>
              <w:right w:val="single" w:sz="4" w:space="0" w:color="auto"/>
            </w:tcBorders>
            <w:shd w:val="clear" w:color="000000" w:fill="FFF2CC"/>
            <w:noWrap/>
            <w:vAlign w:val="center"/>
            <w:hideMark/>
          </w:tcPr>
          <w:p w14:paraId="4B64607C" w14:textId="77777777" w:rsidR="00015ECC" w:rsidRPr="002054B1" w:rsidRDefault="00015ECC" w:rsidP="006212D0">
            <w:pPr>
              <w:jc w:val="right"/>
              <w:rPr>
                <w:rFonts w:eastAsia="Times New Roman" w:cs="Calibri"/>
                <w:color w:val="000000"/>
              </w:rPr>
            </w:pPr>
            <w:r w:rsidRPr="002054B1">
              <w:rPr>
                <w:rFonts w:eastAsia="Times New Roman" w:cs="Calibri"/>
                <w:color w:val="000000"/>
              </w:rPr>
              <w:t>0,2981 tCO2/MWh</w:t>
            </w:r>
          </w:p>
        </w:tc>
        <w:tc>
          <w:tcPr>
            <w:tcW w:w="1945" w:type="dxa"/>
            <w:tcBorders>
              <w:top w:val="nil"/>
              <w:left w:val="nil"/>
              <w:bottom w:val="single" w:sz="4" w:space="0" w:color="auto"/>
              <w:right w:val="single" w:sz="4" w:space="0" w:color="auto"/>
            </w:tcBorders>
            <w:shd w:val="clear" w:color="auto" w:fill="auto"/>
            <w:noWrap/>
            <w:vAlign w:val="center"/>
            <w:hideMark/>
          </w:tcPr>
          <w:p w14:paraId="64D6576D" w14:textId="77777777" w:rsidR="00015ECC" w:rsidRPr="002054B1" w:rsidRDefault="00015ECC" w:rsidP="006212D0">
            <w:pPr>
              <w:jc w:val="right"/>
              <w:rPr>
                <w:rFonts w:eastAsia="Times New Roman" w:cs="Calibri"/>
                <w:color w:val="000000"/>
              </w:rPr>
            </w:pPr>
            <w:r w:rsidRPr="002054B1">
              <w:rPr>
                <w:rFonts w:eastAsia="Times New Roman" w:cs="Calibri"/>
                <w:color w:val="000000"/>
              </w:rPr>
              <w:t>0,0339 tCO2/MWh</w:t>
            </w:r>
          </w:p>
        </w:tc>
        <w:tc>
          <w:tcPr>
            <w:tcW w:w="1945" w:type="dxa"/>
            <w:tcBorders>
              <w:top w:val="nil"/>
              <w:left w:val="nil"/>
              <w:bottom w:val="single" w:sz="4" w:space="0" w:color="auto"/>
              <w:right w:val="single" w:sz="4" w:space="0" w:color="auto"/>
            </w:tcBorders>
            <w:shd w:val="clear" w:color="auto" w:fill="auto"/>
            <w:noWrap/>
            <w:vAlign w:val="center"/>
            <w:hideMark/>
          </w:tcPr>
          <w:p w14:paraId="0DE4DD66" w14:textId="77777777" w:rsidR="00015ECC" w:rsidRPr="002054B1" w:rsidRDefault="00015ECC" w:rsidP="006212D0">
            <w:pPr>
              <w:jc w:val="right"/>
              <w:rPr>
                <w:rFonts w:eastAsia="Times New Roman" w:cs="Calibri"/>
                <w:color w:val="000000"/>
              </w:rPr>
            </w:pPr>
            <w:r w:rsidRPr="002054B1">
              <w:rPr>
                <w:rFonts w:eastAsia="Times New Roman" w:cs="Calibri"/>
                <w:color w:val="000000"/>
              </w:rPr>
              <w:t>0,0339 tCO2/MWh</w:t>
            </w:r>
          </w:p>
        </w:tc>
      </w:tr>
    </w:tbl>
    <w:p w14:paraId="32F1388A" w14:textId="6B12DBA0" w:rsidR="00015ECC" w:rsidRPr="00015ECC" w:rsidRDefault="00015ECC" w:rsidP="00015ECC">
      <w:pPr>
        <w:rPr>
          <w:rFonts w:asciiTheme="majorHAnsi" w:eastAsiaTheme="majorEastAsia" w:hAnsiTheme="majorHAnsi" w:cstheme="majorBidi"/>
          <w:bCs/>
          <w:color w:val="A83B22"/>
          <w:sz w:val="26"/>
          <w:szCs w:val="26"/>
        </w:rPr>
      </w:pPr>
      <w:r>
        <w:rPr>
          <w:highlight w:val="yellow"/>
        </w:rPr>
        <w:br/>
      </w:r>
    </w:p>
    <w:p w14:paraId="18857C7E" w14:textId="3376F7B4" w:rsidR="00015ECC" w:rsidRPr="009C28F4" w:rsidRDefault="00015ECC" w:rsidP="00015ECC">
      <w:pPr>
        <w:pStyle w:val="Sous-titre"/>
      </w:pPr>
      <w:r w:rsidRPr="009C28F4">
        <w:t>Méthodologie pour éval</w:t>
      </w:r>
      <w:r>
        <w:t xml:space="preserve">uer le potentiel photovoltaïque </w:t>
      </w:r>
      <w:r w:rsidRPr="009C28F4">
        <w:t xml:space="preserve">(Ombrières de parking, centrales au sol, centrales flottantes) </w:t>
      </w:r>
    </w:p>
    <w:p w14:paraId="676301F3" w14:textId="77777777" w:rsidR="00015ECC" w:rsidRDefault="00015ECC" w:rsidP="00015ECC">
      <w:r w:rsidRPr="009C28F4">
        <w:t xml:space="preserve">Évaluation de la productivité des panneaux : Source Global Solar Atlas 2.0, application développée par </w:t>
      </w:r>
      <w:proofErr w:type="spellStart"/>
      <w:r w:rsidRPr="009C28F4">
        <w:t>Solargis</w:t>
      </w:r>
      <w:proofErr w:type="spellEnd"/>
      <w:r w:rsidRPr="009C28F4">
        <w:t xml:space="preserve"> et issue du programme ESMAP (Energy </w:t>
      </w:r>
      <w:proofErr w:type="spellStart"/>
      <w:r w:rsidRPr="009C28F4">
        <w:t>Sector</w:t>
      </w:r>
      <w:proofErr w:type="spellEnd"/>
      <w:r w:rsidRPr="009C28F4">
        <w:t xml:space="preserve"> Management Assistance Program), coordonné et financé par la Banque Mondiale (</w:t>
      </w:r>
      <w:hyperlink r:id="rId71" w:history="1">
        <w:r w:rsidRPr="009C28F4">
          <w:rPr>
            <w:rStyle w:val="Lienhypertexte"/>
          </w:rPr>
          <w:t>https://globalsolaratlas.info</w:t>
        </w:r>
      </w:hyperlink>
      <w:r w:rsidRPr="009C28F4">
        <w:t xml:space="preserve">). </w:t>
      </w:r>
    </w:p>
    <w:p w14:paraId="5405BE05" w14:textId="5C4EAE9A" w:rsidR="00015ECC" w:rsidRDefault="00015ECC" w:rsidP="00015ECC">
      <w:r w:rsidRPr="009C28F4">
        <w:t>Carte (par mailles d’environ 707mx707m) de production potentielle de modules photovoltaïques de silicium cristallin fixes, inclinés à l’angle optimal pour la production photovoltaïque, avec prise en compte du relief.</w:t>
      </w:r>
    </w:p>
    <w:p w14:paraId="7B57B442" w14:textId="77777777" w:rsidR="00015ECC" w:rsidRPr="009C28F4" w:rsidRDefault="00015ECC" w:rsidP="00015ECC"/>
    <w:p w14:paraId="1B75577B" w14:textId="77777777" w:rsidR="00C05E67" w:rsidRDefault="00C05E67" w:rsidP="00015ECC">
      <w:pPr>
        <w:rPr>
          <w:b/>
          <w:bCs/>
        </w:rPr>
      </w:pPr>
    </w:p>
    <w:p w14:paraId="30B31E12" w14:textId="77777777" w:rsidR="00C05E67" w:rsidRDefault="00C05E67" w:rsidP="00015ECC">
      <w:pPr>
        <w:rPr>
          <w:b/>
          <w:bCs/>
        </w:rPr>
      </w:pPr>
    </w:p>
    <w:p w14:paraId="3A7BAFCA" w14:textId="7FA9D090" w:rsidR="00015ECC" w:rsidRPr="00792938" w:rsidRDefault="00792938" w:rsidP="00015ECC">
      <w:pPr>
        <w:rPr>
          <w:b/>
          <w:bCs/>
        </w:rPr>
      </w:pPr>
      <w:r w:rsidRPr="00792938">
        <w:rPr>
          <w:b/>
          <w:bCs/>
        </w:rPr>
        <w:t>PV en toitures - R</w:t>
      </w:r>
      <w:r w:rsidR="00015ECC" w:rsidRPr="00792938">
        <w:rPr>
          <w:b/>
          <w:bCs/>
        </w:rPr>
        <w:t>épartition des potentiels bruts et nets par commune</w:t>
      </w:r>
      <w:r w:rsidRPr="00792938">
        <w:rPr>
          <w:b/>
          <w:bCs/>
        </w:rPr>
        <w:t> :</w:t>
      </w:r>
    </w:p>
    <w:tbl>
      <w:tblPr>
        <w:tblStyle w:val="AKAtab1"/>
        <w:tblW w:w="9067" w:type="dxa"/>
        <w:tblLayout w:type="fixed"/>
        <w:tblLook w:val="04A0" w:firstRow="1" w:lastRow="0" w:firstColumn="1" w:lastColumn="0" w:noHBand="0" w:noVBand="1"/>
      </w:tblPr>
      <w:tblGrid>
        <w:gridCol w:w="2689"/>
        <w:gridCol w:w="3260"/>
        <w:gridCol w:w="3118"/>
      </w:tblGrid>
      <w:tr w:rsidR="00015ECC" w:rsidRPr="009C28F4" w14:paraId="7C99B1B2" w14:textId="77777777" w:rsidTr="00015ECC">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689" w:type="dxa"/>
            <w:vMerge w:val="restart"/>
            <w:noWrap/>
            <w:hideMark/>
          </w:tcPr>
          <w:p w14:paraId="3613A197" w14:textId="77777777" w:rsidR="00015ECC" w:rsidRPr="009C28F4" w:rsidRDefault="00015ECC" w:rsidP="006212D0">
            <w:pPr>
              <w:jc w:val="left"/>
              <w:rPr>
                <w:rFonts w:ascii="Arial" w:eastAsia="Times New Roman" w:hAnsi="Arial" w:cs="Arial"/>
                <w:b w:val="0"/>
                <w:bCs/>
                <w:color w:val="000000"/>
                <w:sz w:val="20"/>
                <w:szCs w:val="20"/>
              </w:rPr>
            </w:pPr>
            <w:r w:rsidRPr="009C28F4">
              <w:rPr>
                <w:rFonts w:ascii="Arial" w:eastAsia="Times New Roman" w:hAnsi="Arial" w:cs="Arial"/>
                <w:b w:val="0"/>
                <w:bCs/>
                <w:color w:val="000000"/>
                <w:sz w:val="20"/>
                <w:szCs w:val="20"/>
              </w:rPr>
              <w:lastRenderedPageBreak/>
              <w:t>Commune</w:t>
            </w:r>
          </w:p>
        </w:tc>
        <w:tc>
          <w:tcPr>
            <w:tcW w:w="3260" w:type="dxa"/>
            <w:vMerge w:val="restart"/>
            <w:hideMark/>
          </w:tcPr>
          <w:p w14:paraId="2A2AE317" w14:textId="0C8D088A" w:rsidR="00015ECC" w:rsidRPr="009C28F4" w:rsidRDefault="00015ECC" w:rsidP="006212D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20"/>
                <w:szCs w:val="20"/>
              </w:rPr>
            </w:pPr>
            <w:r>
              <w:rPr>
                <w:rFonts w:ascii="Arial" w:eastAsia="Times New Roman" w:hAnsi="Arial" w:cs="Arial"/>
                <w:b w:val="0"/>
                <w:bCs/>
                <w:color w:val="000000"/>
                <w:sz w:val="20"/>
                <w:szCs w:val="20"/>
              </w:rPr>
              <w:t>Potentiel brut</w:t>
            </w:r>
            <w:r w:rsidR="00792938">
              <w:rPr>
                <w:rFonts w:ascii="Arial" w:eastAsia="Times New Roman" w:hAnsi="Arial" w:cs="Arial"/>
                <w:b w:val="0"/>
                <w:bCs/>
                <w:color w:val="000000"/>
                <w:sz w:val="20"/>
                <w:szCs w:val="20"/>
              </w:rPr>
              <w:t xml:space="preserve"> en toiture</w:t>
            </w:r>
          </w:p>
        </w:tc>
        <w:tc>
          <w:tcPr>
            <w:tcW w:w="3118" w:type="dxa"/>
            <w:vMerge w:val="restart"/>
            <w:hideMark/>
          </w:tcPr>
          <w:p w14:paraId="4A56BCE6" w14:textId="459ABD7D" w:rsidR="00015ECC" w:rsidRPr="009C28F4" w:rsidRDefault="00015ECC" w:rsidP="006212D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20"/>
                <w:szCs w:val="20"/>
              </w:rPr>
            </w:pPr>
            <w:r>
              <w:rPr>
                <w:rFonts w:ascii="Arial" w:eastAsia="Times New Roman" w:hAnsi="Arial" w:cs="Arial"/>
                <w:b w:val="0"/>
                <w:bCs/>
                <w:color w:val="000000"/>
                <w:sz w:val="20"/>
                <w:szCs w:val="20"/>
              </w:rPr>
              <w:t>Potentiel net</w:t>
            </w:r>
            <w:r w:rsidR="00792938">
              <w:rPr>
                <w:rFonts w:ascii="Arial" w:eastAsia="Times New Roman" w:hAnsi="Arial" w:cs="Arial"/>
                <w:b w:val="0"/>
                <w:bCs/>
                <w:color w:val="000000"/>
                <w:sz w:val="20"/>
                <w:szCs w:val="20"/>
              </w:rPr>
              <w:t xml:space="preserve"> en toiture</w:t>
            </w:r>
          </w:p>
        </w:tc>
      </w:tr>
      <w:tr w:rsidR="00015ECC" w:rsidRPr="009C28F4" w14:paraId="71BBD80A" w14:textId="77777777" w:rsidTr="00015ECC">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689" w:type="dxa"/>
            <w:vMerge/>
            <w:hideMark/>
          </w:tcPr>
          <w:p w14:paraId="2F42FA51" w14:textId="77777777" w:rsidR="00015ECC" w:rsidRPr="009C28F4" w:rsidRDefault="00015ECC" w:rsidP="006212D0">
            <w:pPr>
              <w:jc w:val="left"/>
              <w:rPr>
                <w:rFonts w:ascii="Arial" w:eastAsia="Times New Roman" w:hAnsi="Arial" w:cs="Arial"/>
                <w:b/>
                <w:bCs/>
                <w:color w:val="000000"/>
                <w:sz w:val="20"/>
                <w:szCs w:val="20"/>
              </w:rPr>
            </w:pPr>
          </w:p>
        </w:tc>
        <w:tc>
          <w:tcPr>
            <w:tcW w:w="3260" w:type="dxa"/>
            <w:vMerge/>
            <w:hideMark/>
          </w:tcPr>
          <w:p w14:paraId="3789CA9F"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rPr>
            </w:pPr>
          </w:p>
        </w:tc>
        <w:tc>
          <w:tcPr>
            <w:tcW w:w="3118" w:type="dxa"/>
            <w:vMerge/>
            <w:hideMark/>
          </w:tcPr>
          <w:p w14:paraId="3C2EFD65"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rPr>
            </w:pPr>
          </w:p>
        </w:tc>
      </w:tr>
      <w:tr w:rsidR="00015ECC" w:rsidRPr="009C28F4" w14:paraId="7C89D016"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E5BFB5B" w14:textId="77777777" w:rsidR="00015ECC" w:rsidRPr="009C28F4" w:rsidRDefault="00015ECC" w:rsidP="006212D0">
            <w:pPr>
              <w:jc w:val="left"/>
              <w:rPr>
                <w:rFonts w:eastAsia="Times New Roman" w:cs="Calibri"/>
                <w:color w:val="000000"/>
              </w:rPr>
            </w:pPr>
            <w:r w:rsidRPr="009C28F4">
              <w:rPr>
                <w:rFonts w:eastAsia="Times New Roman" w:cs="Calibri"/>
                <w:color w:val="000000"/>
              </w:rPr>
              <w:t>Chevreuse</w:t>
            </w:r>
          </w:p>
        </w:tc>
        <w:tc>
          <w:tcPr>
            <w:tcW w:w="3260" w:type="dxa"/>
            <w:noWrap/>
            <w:hideMark/>
          </w:tcPr>
          <w:p w14:paraId="39C6B87C"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15 774 MWh</w:t>
            </w:r>
          </w:p>
        </w:tc>
        <w:tc>
          <w:tcPr>
            <w:tcW w:w="3118" w:type="dxa"/>
            <w:noWrap/>
            <w:hideMark/>
          </w:tcPr>
          <w:p w14:paraId="17A05281"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8 764 MWh</w:t>
            </w:r>
          </w:p>
        </w:tc>
      </w:tr>
      <w:tr w:rsidR="00015ECC" w:rsidRPr="009C28F4" w14:paraId="1800CBA8"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E00E928" w14:textId="77777777" w:rsidR="00015ECC" w:rsidRPr="009C28F4" w:rsidRDefault="00015ECC" w:rsidP="006212D0">
            <w:pPr>
              <w:jc w:val="left"/>
              <w:rPr>
                <w:rFonts w:eastAsia="Times New Roman" w:cs="Calibri"/>
                <w:color w:val="000000"/>
              </w:rPr>
            </w:pPr>
            <w:r w:rsidRPr="009C28F4">
              <w:rPr>
                <w:rFonts w:eastAsia="Times New Roman" w:cs="Calibri"/>
                <w:color w:val="000000"/>
              </w:rPr>
              <w:t>Choisel</w:t>
            </w:r>
          </w:p>
        </w:tc>
        <w:tc>
          <w:tcPr>
            <w:tcW w:w="3260" w:type="dxa"/>
            <w:noWrap/>
            <w:hideMark/>
          </w:tcPr>
          <w:p w14:paraId="13FD8577"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2 448 MWh</w:t>
            </w:r>
          </w:p>
        </w:tc>
        <w:tc>
          <w:tcPr>
            <w:tcW w:w="3118" w:type="dxa"/>
            <w:noWrap/>
            <w:hideMark/>
          </w:tcPr>
          <w:p w14:paraId="7FF5E936"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869 MWh</w:t>
            </w:r>
          </w:p>
        </w:tc>
      </w:tr>
      <w:tr w:rsidR="00015ECC" w:rsidRPr="009C28F4" w14:paraId="5BD9D77B"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191BC6D" w14:textId="77777777" w:rsidR="00015ECC" w:rsidRPr="009C28F4" w:rsidRDefault="00015ECC" w:rsidP="006212D0">
            <w:pPr>
              <w:jc w:val="left"/>
              <w:rPr>
                <w:rFonts w:eastAsia="Times New Roman" w:cs="Calibri"/>
                <w:color w:val="000000"/>
              </w:rPr>
            </w:pPr>
            <w:r w:rsidRPr="009C28F4">
              <w:rPr>
                <w:rFonts w:eastAsia="Times New Roman" w:cs="Calibri"/>
                <w:color w:val="000000"/>
              </w:rPr>
              <w:t>Dampierre-en-Yvelines</w:t>
            </w:r>
          </w:p>
        </w:tc>
        <w:tc>
          <w:tcPr>
            <w:tcW w:w="3260" w:type="dxa"/>
            <w:noWrap/>
            <w:hideMark/>
          </w:tcPr>
          <w:p w14:paraId="7EF69DFA"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4 256 MWh</w:t>
            </w:r>
          </w:p>
        </w:tc>
        <w:tc>
          <w:tcPr>
            <w:tcW w:w="3118" w:type="dxa"/>
            <w:noWrap/>
            <w:hideMark/>
          </w:tcPr>
          <w:p w14:paraId="56176DBD"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1 992 MWh</w:t>
            </w:r>
          </w:p>
        </w:tc>
      </w:tr>
      <w:tr w:rsidR="00015ECC" w:rsidRPr="009C28F4" w14:paraId="625EF4C1"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F2C7222" w14:textId="77777777" w:rsidR="00015ECC" w:rsidRPr="009C28F4" w:rsidRDefault="00015ECC" w:rsidP="006212D0">
            <w:pPr>
              <w:jc w:val="left"/>
              <w:rPr>
                <w:rFonts w:eastAsia="Times New Roman" w:cs="Calibri"/>
                <w:color w:val="000000"/>
              </w:rPr>
            </w:pPr>
            <w:r w:rsidRPr="009C28F4">
              <w:rPr>
                <w:rFonts w:eastAsia="Times New Roman" w:cs="Calibri"/>
                <w:color w:val="000000"/>
              </w:rPr>
              <w:t>Lévis-Saint-Nom</w:t>
            </w:r>
          </w:p>
        </w:tc>
        <w:tc>
          <w:tcPr>
            <w:tcW w:w="3260" w:type="dxa"/>
            <w:noWrap/>
            <w:hideMark/>
          </w:tcPr>
          <w:p w14:paraId="77236421"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5 531 MWh</w:t>
            </w:r>
          </w:p>
        </w:tc>
        <w:tc>
          <w:tcPr>
            <w:tcW w:w="3118" w:type="dxa"/>
            <w:noWrap/>
            <w:hideMark/>
          </w:tcPr>
          <w:p w14:paraId="23C547C4"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3 905 MWh</w:t>
            </w:r>
          </w:p>
        </w:tc>
      </w:tr>
      <w:tr w:rsidR="00015ECC" w:rsidRPr="009C28F4" w14:paraId="713E4945"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FE0860C" w14:textId="77777777" w:rsidR="00015ECC" w:rsidRPr="009C28F4" w:rsidRDefault="00015ECC" w:rsidP="006212D0">
            <w:pPr>
              <w:jc w:val="left"/>
              <w:rPr>
                <w:rFonts w:eastAsia="Times New Roman" w:cs="Calibri"/>
                <w:color w:val="000000"/>
              </w:rPr>
            </w:pPr>
            <w:r w:rsidRPr="009C28F4">
              <w:rPr>
                <w:rFonts w:eastAsia="Times New Roman" w:cs="Calibri"/>
                <w:color w:val="000000"/>
              </w:rPr>
              <w:t>Le Mesnil-Saint-Denis</w:t>
            </w:r>
          </w:p>
        </w:tc>
        <w:tc>
          <w:tcPr>
            <w:tcW w:w="3260" w:type="dxa"/>
            <w:noWrap/>
            <w:hideMark/>
          </w:tcPr>
          <w:p w14:paraId="138376D1"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17 646 MWh</w:t>
            </w:r>
          </w:p>
        </w:tc>
        <w:tc>
          <w:tcPr>
            <w:tcW w:w="3118" w:type="dxa"/>
            <w:noWrap/>
            <w:hideMark/>
          </w:tcPr>
          <w:p w14:paraId="3571FE87"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10 169 MWh</w:t>
            </w:r>
          </w:p>
        </w:tc>
      </w:tr>
      <w:tr w:rsidR="00015ECC" w:rsidRPr="009C28F4" w14:paraId="00B10542"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D8DE029" w14:textId="77777777" w:rsidR="00015ECC" w:rsidRPr="009C28F4" w:rsidRDefault="00015ECC" w:rsidP="006212D0">
            <w:pPr>
              <w:jc w:val="left"/>
              <w:rPr>
                <w:rFonts w:eastAsia="Times New Roman" w:cs="Calibri"/>
                <w:color w:val="000000"/>
              </w:rPr>
            </w:pPr>
            <w:r w:rsidRPr="009C28F4">
              <w:rPr>
                <w:rFonts w:eastAsia="Times New Roman" w:cs="Calibri"/>
                <w:color w:val="000000"/>
              </w:rPr>
              <w:t>Milon-la-Chapelle</w:t>
            </w:r>
          </w:p>
        </w:tc>
        <w:tc>
          <w:tcPr>
            <w:tcW w:w="3260" w:type="dxa"/>
            <w:noWrap/>
            <w:hideMark/>
          </w:tcPr>
          <w:p w14:paraId="46DD8E17"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1 263 MWh</w:t>
            </w:r>
          </w:p>
        </w:tc>
        <w:tc>
          <w:tcPr>
            <w:tcW w:w="3118" w:type="dxa"/>
            <w:noWrap/>
            <w:hideMark/>
          </w:tcPr>
          <w:p w14:paraId="3CA0D24F"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612 MWh</w:t>
            </w:r>
          </w:p>
        </w:tc>
      </w:tr>
      <w:tr w:rsidR="00015ECC" w:rsidRPr="009C28F4" w14:paraId="216FE951"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22235F50" w14:textId="77777777" w:rsidR="00015ECC" w:rsidRPr="009C28F4" w:rsidRDefault="00015ECC" w:rsidP="006212D0">
            <w:pPr>
              <w:jc w:val="left"/>
              <w:rPr>
                <w:rFonts w:eastAsia="Times New Roman" w:cs="Calibri"/>
                <w:color w:val="000000"/>
              </w:rPr>
            </w:pPr>
            <w:r w:rsidRPr="009C28F4">
              <w:rPr>
                <w:rFonts w:eastAsia="Times New Roman" w:cs="Calibri"/>
                <w:color w:val="000000"/>
              </w:rPr>
              <w:t>Saint-Forget</w:t>
            </w:r>
          </w:p>
        </w:tc>
        <w:tc>
          <w:tcPr>
            <w:tcW w:w="3260" w:type="dxa"/>
            <w:noWrap/>
            <w:hideMark/>
          </w:tcPr>
          <w:p w14:paraId="420C4B97"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1 914 MWh</w:t>
            </w:r>
          </w:p>
        </w:tc>
        <w:tc>
          <w:tcPr>
            <w:tcW w:w="3118" w:type="dxa"/>
            <w:noWrap/>
            <w:hideMark/>
          </w:tcPr>
          <w:p w14:paraId="6CBCC8CA"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1 041 MWh</w:t>
            </w:r>
          </w:p>
        </w:tc>
      </w:tr>
      <w:tr w:rsidR="00015ECC" w:rsidRPr="009C28F4" w14:paraId="0FD54C89"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D568CAF" w14:textId="77777777" w:rsidR="00015ECC" w:rsidRPr="009C28F4" w:rsidRDefault="00015ECC" w:rsidP="006212D0">
            <w:pPr>
              <w:jc w:val="left"/>
              <w:rPr>
                <w:rFonts w:eastAsia="Times New Roman" w:cs="Calibri"/>
                <w:color w:val="000000"/>
              </w:rPr>
            </w:pPr>
            <w:r w:rsidRPr="009C28F4">
              <w:rPr>
                <w:rFonts w:eastAsia="Times New Roman" w:cs="Calibri"/>
                <w:color w:val="000000"/>
              </w:rPr>
              <w:t>Saint-Lambert</w:t>
            </w:r>
          </w:p>
        </w:tc>
        <w:tc>
          <w:tcPr>
            <w:tcW w:w="3260" w:type="dxa"/>
            <w:noWrap/>
            <w:hideMark/>
          </w:tcPr>
          <w:p w14:paraId="5C60019F"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1 910 MWh</w:t>
            </w:r>
          </w:p>
        </w:tc>
        <w:tc>
          <w:tcPr>
            <w:tcW w:w="3118" w:type="dxa"/>
            <w:noWrap/>
            <w:hideMark/>
          </w:tcPr>
          <w:p w14:paraId="6A2B07C0"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943 MWh</w:t>
            </w:r>
          </w:p>
        </w:tc>
      </w:tr>
      <w:tr w:rsidR="00015ECC" w:rsidRPr="009C28F4" w14:paraId="527BEF21"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4E5D9F2" w14:textId="77777777" w:rsidR="00015ECC" w:rsidRPr="009C28F4" w:rsidRDefault="00015ECC" w:rsidP="006212D0">
            <w:pPr>
              <w:jc w:val="left"/>
              <w:rPr>
                <w:rFonts w:eastAsia="Times New Roman" w:cs="Calibri"/>
                <w:color w:val="000000"/>
              </w:rPr>
            </w:pPr>
            <w:r w:rsidRPr="009C28F4">
              <w:rPr>
                <w:rFonts w:eastAsia="Times New Roman" w:cs="Calibri"/>
                <w:color w:val="000000"/>
              </w:rPr>
              <w:t>Saint-Rémy-lès-Chevreuse</w:t>
            </w:r>
          </w:p>
        </w:tc>
        <w:tc>
          <w:tcPr>
            <w:tcW w:w="3260" w:type="dxa"/>
            <w:noWrap/>
            <w:hideMark/>
          </w:tcPr>
          <w:p w14:paraId="00E6D8E8"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20 622 MWh</w:t>
            </w:r>
          </w:p>
        </w:tc>
        <w:tc>
          <w:tcPr>
            <w:tcW w:w="3118" w:type="dxa"/>
            <w:noWrap/>
            <w:hideMark/>
          </w:tcPr>
          <w:p w14:paraId="331BF467"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13 496 MWh</w:t>
            </w:r>
          </w:p>
        </w:tc>
      </w:tr>
      <w:tr w:rsidR="00015ECC" w:rsidRPr="009C28F4" w14:paraId="6456A39D"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791B6EA" w14:textId="77777777" w:rsidR="00015ECC" w:rsidRPr="009C28F4" w:rsidRDefault="00015ECC" w:rsidP="006212D0">
            <w:pPr>
              <w:jc w:val="left"/>
              <w:rPr>
                <w:rFonts w:eastAsia="Times New Roman" w:cs="Calibri"/>
                <w:color w:val="000000"/>
              </w:rPr>
            </w:pPr>
            <w:r w:rsidRPr="009C28F4">
              <w:rPr>
                <w:rFonts w:eastAsia="Times New Roman" w:cs="Calibri"/>
                <w:color w:val="000000"/>
              </w:rPr>
              <w:t>Senlisse</w:t>
            </w:r>
          </w:p>
        </w:tc>
        <w:tc>
          <w:tcPr>
            <w:tcW w:w="3260" w:type="dxa"/>
            <w:noWrap/>
            <w:hideMark/>
          </w:tcPr>
          <w:p w14:paraId="2C232326"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2 378 MWh</w:t>
            </w:r>
          </w:p>
        </w:tc>
        <w:tc>
          <w:tcPr>
            <w:tcW w:w="3118" w:type="dxa"/>
            <w:noWrap/>
            <w:hideMark/>
          </w:tcPr>
          <w:p w14:paraId="5B083142"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1 172 MWh</w:t>
            </w:r>
          </w:p>
        </w:tc>
      </w:tr>
      <w:tr w:rsidR="00015ECC" w:rsidRPr="003B2178" w14:paraId="496C3177"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ACFBACA" w14:textId="77777777" w:rsidR="00015ECC" w:rsidRPr="003B2178" w:rsidRDefault="00015ECC" w:rsidP="006212D0">
            <w:pPr>
              <w:jc w:val="left"/>
              <w:rPr>
                <w:rFonts w:ascii="Arial" w:eastAsia="Times New Roman" w:hAnsi="Arial" w:cs="Arial"/>
                <w:b/>
                <w:bCs/>
                <w:color w:val="000000"/>
                <w:sz w:val="20"/>
                <w:szCs w:val="20"/>
              </w:rPr>
            </w:pPr>
            <w:r w:rsidRPr="003B2178">
              <w:rPr>
                <w:rFonts w:ascii="Arial" w:eastAsia="Times New Roman" w:hAnsi="Arial" w:cs="Arial"/>
                <w:b/>
                <w:bCs/>
                <w:color w:val="000000"/>
                <w:sz w:val="20"/>
                <w:szCs w:val="20"/>
              </w:rPr>
              <w:t>Total général</w:t>
            </w:r>
          </w:p>
        </w:tc>
        <w:tc>
          <w:tcPr>
            <w:tcW w:w="3260" w:type="dxa"/>
            <w:noWrap/>
            <w:hideMark/>
          </w:tcPr>
          <w:p w14:paraId="3E3DC1C8" w14:textId="77777777" w:rsidR="00015ECC" w:rsidRPr="003B2178"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rPr>
            </w:pPr>
            <w:r>
              <w:rPr>
                <w:rFonts w:ascii="Arial" w:eastAsia="Times New Roman" w:hAnsi="Arial" w:cs="Arial"/>
                <w:b/>
                <w:bCs/>
                <w:color w:val="000000"/>
                <w:sz w:val="20"/>
                <w:szCs w:val="20"/>
              </w:rPr>
              <w:t>73 700</w:t>
            </w:r>
            <w:r w:rsidRPr="003B2178">
              <w:rPr>
                <w:rFonts w:ascii="Arial" w:eastAsia="Times New Roman" w:hAnsi="Arial" w:cs="Arial"/>
                <w:b/>
                <w:bCs/>
                <w:color w:val="000000"/>
                <w:sz w:val="20"/>
                <w:szCs w:val="20"/>
              </w:rPr>
              <w:t xml:space="preserve"> </w:t>
            </w:r>
            <w:r w:rsidRPr="003B2178">
              <w:rPr>
                <w:rFonts w:cs="Calibri"/>
                <w:b/>
                <w:bCs/>
                <w:color w:val="000000"/>
              </w:rPr>
              <w:t>MWh</w:t>
            </w:r>
          </w:p>
        </w:tc>
        <w:tc>
          <w:tcPr>
            <w:tcW w:w="3118" w:type="dxa"/>
            <w:noWrap/>
            <w:hideMark/>
          </w:tcPr>
          <w:p w14:paraId="623FECCC" w14:textId="77777777" w:rsidR="00015ECC" w:rsidRPr="003B2178"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rPr>
            </w:pPr>
            <w:r>
              <w:rPr>
                <w:rFonts w:cs="Calibri"/>
                <w:b/>
                <w:bCs/>
                <w:color w:val="000000"/>
              </w:rPr>
              <w:t xml:space="preserve"> 42 962 </w:t>
            </w:r>
            <w:r w:rsidRPr="003B2178">
              <w:rPr>
                <w:rFonts w:cs="Calibri"/>
                <w:b/>
                <w:bCs/>
                <w:color w:val="000000"/>
              </w:rPr>
              <w:t>MWh</w:t>
            </w:r>
          </w:p>
        </w:tc>
      </w:tr>
    </w:tbl>
    <w:p w14:paraId="56B27686" w14:textId="77777777" w:rsidR="00015ECC" w:rsidRPr="003B2178" w:rsidRDefault="00015ECC" w:rsidP="00015ECC">
      <w:pPr>
        <w:rPr>
          <w:b/>
          <w:bCs/>
        </w:rPr>
      </w:pPr>
    </w:p>
    <w:p w14:paraId="38A4A519" w14:textId="629578D2" w:rsidR="00015ECC" w:rsidRPr="00C05E67" w:rsidRDefault="00792938" w:rsidP="00015ECC">
      <w:pPr>
        <w:rPr>
          <w:b/>
          <w:bCs/>
        </w:rPr>
      </w:pPr>
      <w:r w:rsidRPr="00792938">
        <w:rPr>
          <w:b/>
          <w:bCs/>
        </w:rPr>
        <w:t>PV toitures et ombrières parking - R</w:t>
      </w:r>
      <w:r w:rsidR="00015ECC" w:rsidRPr="00792938">
        <w:rPr>
          <w:b/>
          <w:bCs/>
        </w:rPr>
        <w:t>épartition des potentiels nets par type d’installation et par commune</w:t>
      </w:r>
      <w:r w:rsidRPr="00792938">
        <w:rPr>
          <w:b/>
          <w:bCs/>
        </w:rPr>
        <w:t xml:space="preserve"> </w:t>
      </w:r>
      <w:r w:rsidR="00015ECC" w:rsidRPr="00792938">
        <w:rPr>
          <w:b/>
          <w:bCs/>
        </w:rPr>
        <w:t>:</w:t>
      </w:r>
    </w:p>
    <w:tbl>
      <w:tblPr>
        <w:tblStyle w:val="AKAtab1"/>
        <w:tblW w:w="9067" w:type="dxa"/>
        <w:tblLayout w:type="fixed"/>
        <w:tblLook w:val="04A0" w:firstRow="1" w:lastRow="0" w:firstColumn="1" w:lastColumn="0" w:noHBand="0" w:noVBand="1"/>
      </w:tblPr>
      <w:tblGrid>
        <w:gridCol w:w="2689"/>
        <w:gridCol w:w="3260"/>
        <w:gridCol w:w="3118"/>
      </w:tblGrid>
      <w:tr w:rsidR="00015ECC" w:rsidRPr="009C28F4" w14:paraId="616A3A92" w14:textId="77777777" w:rsidTr="00015ECC">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689" w:type="dxa"/>
            <w:vMerge w:val="restart"/>
            <w:noWrap/>
            <w:hideMark/>
          </w:tcPr>
          <w:p w14:paraId="1F5E88F3" w14:textId="77777777" w:rsidR="00015ECC" w:rsidRPr="009C28F4" w:rsidRDefault="00015ECC" w:rsidP="006212D0">
            <w:pPr>
              <w:jc w:val="left"/>
              <w:rPr>
                <w:rFonts w:ascii="Arial" w:eastAsia="Times New Roman" w:hAnsi="Arial" w:cs="Arial"/>
                <w:b w:val="0"/>
                <w:bCs/>
                <w:color w:val="000000"/>
                <w:sz w:val="20"/>
                <w:szCs w:val="20"/>
              </w:rPr>
            </w:pPr>
            <w:r w:rsidRPr="009C28F4">
              <w:rPr>
                <w:rFonts w:ascii="Arial" w:eastAsia="Times New Roman" w:hAnsi="Arial" w:cs="Arial"/>
                <w:b w:val="0"/>
                <w:bCs/>
                <w:color w:val="000000"/>
                <w:sz w:val="20"/>
                <w:szCs w:val="20"/>
              </w:rPr>
              <w:t>Commune</w:t>
            </w:r>
          </w:p>
        </w:tc>
        <w:tc>
          <w:tcPr>
            <w:tcW w:w="3260" w:type="dxa"/>
            <w:vMerge w:val="restart"/>
            <w:hideMark/>
          </w:tcPr>
          <w:p w14:paraId="08B89617" w14:textId="77777777" w:rsidR="00015ECC" w:rsidRPr="009C28F4" w:rsidRDefault="00015ECC" w:rsidP="006212D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20"/>
                <w:szCs w:val="20"/>
              </w:rPr>
            </w:pPr>
            <w:r w:rsidRPr="009C28F4">
              <w:rPr>
                <w:rFonts w:ascii="Arial" w:eastAsia="Times New Roman" w:hAnsi="Arial" w:cs="Arial"/>
                <w:b w:val="0"/>
                <w:bCs/>
                <w:color w:val="000000"/>
                <w:sz w:val="20"/>
                <w:szCs w:val="20"/>
              </w:rPr>
              <w:t>Toitures</w:t>
            </w:r>
          </w:p>
        </w:tc>
        <w:tc>
          <w:tcPr>
            <w:tcW w:w="3118" w:type="dxa"/>
            <w:vMerge w:val="restart"/>
            <w:hideMark/>
          </w:tcPr>
          <w:p w14:paraId="2C62B298" w14:textId="77777777" w:rsidR="00015ECC" w:rsidRPr="009C28F4" w:rsidRDefault="00015ECC" w:rsidP="006212D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20"/>
                <w:szCs w:val="20"/>
              </w:rPr>
            </w:pPr>
            <w:r w:rsidRPr="009C28F4">
              <w:rPr>
                <w:rFonts w:ascii="Arial" w:eastAsia="Times New Roman" w:hAnsi="Arial" w:cs="Arial"/>
                <w:b w:val="0"/>
                <w:bCs/>
                <w:color w:val="000000"/>
                <w:sz w:val="20"/>
                <w:szCs w:val="20"/>
              </w:rPr>
              <w:t>Ombrières</w:t>
            </w:r>
          </w:p>
        </w:tc>
      </w:tr>
      <w:tr w:rsidR="00015ECC" w:rsidRPr="009C28F4" w14:paraId="0B7589C5" w14:textId="77777777" w:rsidTr="00015ECC">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689" w:type="dxa"/>
            <w:vMerge/>
            <w:hideMark/>
          </w:tcPr>
          <w:p w14:paraId="4355EC93" w14:textId="77777777" w:rsidR="00015ECC" w:rsidRPr="009C28F4" w:rsidRDefault="00015ECC" w:rsidP="006212D0">
            <w:pPr>
              <w:jc w:val="left"/>
              <w:rPr>
                <w:rFonts w:ascii="Arial" w:eastAsia="Times New Roman" w:hAnsi="Arial" w:cs="Arial"/>
                <w:b/>
                <w:bCs/>
                <w:color w:val="000000"/>
                <w:sz w:val="20"/>
                <w:szCs w:val="20"/>
              </w:rPr>
            </w:pPr>
          </w:p>
        </w:tc>
        <w:tc>
          <w:tcPr>
            <w:tcW w:w="3260" w:type="dxa"/>
            <w:vMerge/>
            <w:hideMark/>
          </w:tcPr>
          <w:p w14:paraId="52618EB4"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rPr>
            </w:pPr>
          </w:p>
        </w:tc>
        <w:tc>
          <w:tcPr>
            <w:tcW w:w="3118" w:type="dxa"/>
            <w:vMerge/>
            <w:hideMark/>
          </w:tcPr>
          <w:p w14:paraId="03AC7E4A"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rPr>
            </w:pPr>
          </w:p>
        </w:tc>
      </w:tr>
      <w:tr w:rsidR="00015ECC" w:rsidRPr="009C28F4" w14:paraId="5A9A2556"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732F67A" w14:textId="77777777" w:rsidR="00015ECC" w:rsidRPr="009C28F4" w:rsidRDefault="00015ECC" w:rsidP="006212D0">
            <w:pPr>
              <w:jc w:val="left"/>
              <w:rPr>
                <w:rFonts w:eastAsia="Times New Roman" w:cs="Calibri"/>
                <w:color w:val="000000"/>
              </w:rPr>
            </w:pPr>
            <w:r w:rsidRPr="009C28F4">
              <w:rPr>
                <w:rFonts w:eastAsia="Times New Roman" w:cs="Calibri"/>
                <w:color w:val="000000"/>
              </w:rPr>
              <w:t>Chevreuse</w:t>
            </w:r>
          </w:p>
        </w:tc>
        <w:tc>
          <w:tcPr>
            <w:tcW w:w="3260" w:type="dxa"/>
            <w:noWrap/>
            <w:hideMark/>
          </w:tcPr>
          <w:p w14:paraId="39266ABB"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8 764 MWh</w:t>
            </w:r>
          </w:p>
        </w:tc>
        <w:tc>
          <w:tcPr>
            <w:tcW w:w="3118" w:type="dxa"/>
            <w:noWrap/>
            <w:hideMark/>
          </w:tcPr>
          <w:p w14:paraId="11D95B8F"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2 276 MWh</w:t>
            </w:r>
          </w:p>
        </w:tc>
      </w:tr>
      <w:tr w:rsidR="00015ECC" w:rsidRPr="009C28F4" w14:paraId="48D53013"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6972A68" w14:textId="77777777" w:rsidR="00015ECC" w:rsidRPr="009C28F4" w:rsidRDefault="00015ECC" w:rsidP="006212D0">
            <w:pPr>
              <w:jc w:val="left"/>
              <w:rPr>
                <w:rFonts w:eastAsia="Times New Roman" w:cs="Calibri"/>
                <w:color w:val="000000"/>
              </w:rPr>
            </w:pPr>
            <w:r w:rsidRPr="009C28F4">
              <w:rPr>
                <w:rFonts w:eastAsia="Times New Roman" w:cs="Calibri"/>
                <w:color w:val="000000"/>
              </w:rPr>
              <w:t>Choisel</w:t>
            </w:r>
          </w:p>
        </w:tc>
        <w:tc>
          <w:tcPr>
            <w:tcW w:w="3260" w:type="dxa"/>
            <w:noWrap/>
            <w:hideMark/>
          </w:tcPr>
          <w:p w14:paraId="5042D3A3"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869 MWh</w:t>
            </w:r>
          </w:p>
        </w:tc>
        <w:tc>
          <w:tcPr>
            <w:tcW w:w="3118" w:type="dxa"/>
            <w:noWrap/>
            <w:hideMark/>
          </w:tcPr>
          <w:p w14:paraId="2EBDF7B9"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107 MWh</w:t>
            </w:r>
          </w:p>
        </w:tc>
      </w:tr>
      <w:tr w:rsidR="00015ECC" w:rsidRPr="009C28F4" w14:paraId="750F56E5"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5A227C3" w14:textId="77777777" w:rsidR="00015ECC" w:rsidRPr="009C28F4" w:rsidRDefault="00015ECC" w:rsidP="006212D0">
            <w:pPr>
              <w:jc w:val="left"/>
              <w:rPr>
                <w:rFonts w:eastAsia="Times New Roman" w:cs="Calibri"/>
                <w:color w:val="000000"/>
              </w:rPr>
            </w:pPr>
            <w:r w:rsidRPr="009C28F4">
              <w:rPr>
                <w:rFonts w:eastAsia="Times New Roman" w:cs="Calibri"/>
                <w:color w:val="000000"/>
              </w:rPr>
              <w:t>Dampierre-en-Yvelines</w:t>
            </w:r>
          </w:p>
        </w:tc>
        <w:tc>
          <w:tcPr>
            <w:tcW w:w="3260" w:type="dxa"/>
            <w:noWrap/>
            <w:hideMark/>
          </w:tcPr>
          <w:p w14:paraId="28DC3C08"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1 992 MWh</w:t>
            </w:r>
          </w:p>
        </w:tc>
        <w:tc>
          <w:tcPr>
            <w:tcW w:w="3118" w:type="dxa"/>
            <w:noWrap/>
            <w:hideMark/>
          </w:tcPr>
          <w:p w14:paraId="23F7D0BB"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269 MWh</w:t>
            </w:r>
          </w:p>
        </w:tc>
      </w:tr>
      <w:tr w:rsidR="00015ECC" w:rsidRPr="009C28F4" w14:paraId="179CBEA0"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8857B89" w14:textId="77777777" w:rsidR="00015ECC" w:rsidRPr="009C28F4" w:rsidRDefault="00015ECC" w:rsidP="006212D0">
            <w:pPr>
              <w:jc w:val="left"/>
              <w:rPr>
                <w:rFonts w:eastAsia="Times New Roman" w:cs="Calibri"/>
                <w:color w:val="000000"/>
              </w:rPr>
            </w:pPr>
            <w:r w:rsidRPr="009C28F4">
              <w:rPr>
                <w:rFonts w:eastAsia="Times New Roman" w:cs="Calibri"/>
                <w:color w:val="000000"/>
              </w:rPr>
              <w:t>Lévis-Saint-Nom</w:t>
            </w:r>
          </w:p>
        </w:tc>
        <w:tc>
          <w:tcPr>
            <w:tcW w:w="3260" w:type="dxa"/>
            <w:noWrap/>
            <w:hideMark/>
          </w:tcPr>
          <w:p w14:paraId="63E129C8"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3 905 MWh</w:t>
            </w:r>
          </w:p>
        </w:tc>
        <w:tc>
          <w:tcPr>
            <w:tcW w:w="3118" w:type="dxa"/>
            <w:noWrap/>
            <w:hideMark/>
          </w:tcPr>
          <w:p w14:paraId="500CD6E4"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0,0 MWh</w:t>
            </w:r>
          </w:p>
        </w:tc>
      </w:tr>
      <w:tr w:rsidR="00015ECC" w:rsidRPr="009C28F4" w14:paraId="46977B53"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349B2C6" w14:textId="77777777" w:rsidR="00015ECC" w:rsidRPr="009C28F4" w:rsidRDefault="00015ECC" w:rsidP="006212D0">
            <w:pPr>
              <w:jc w:val="left"/>
              <w:rPr>
                <w:rFonts w:eastAsia="Times New Roman" w:cs="Calibri"/>
                <w:color w:val="000000"/>
              </w:rPr>
            </w:pPr>
            <w:r w:rsidRPr="009C28F4">
              <w:rPr>
                <w:rFonts w:eastAsia="Times New Roman" w:cs="Calibri"/>
                <w:color w:val="000000"/>
              </w:rPr>
              <w:t>Le Mesnil-Saint-Denis</w:t>
            </w:r>
          </w:p>
        </w:tc>
        <w:tc>
          <w:tcPr>
            <w:tcW w:w="3260" w:type="dxa"/>
            <w:noWrap/>
            <w:hideMark/>
          </w:tcPr>
          <w:p w14:paraId="6D5C4E0A"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10 169 MWh</w:t>
            </w:r>
          </w:p>
        </w:tc>
        <w:tc>
          <w:tcPr>
            <w:tcW w:w="3118" w:type="dxa"/>
            <w:noWrap/>
            <w:hideMark/>
          </w:tcPr>
          <w:p w14:paraId="092AB612"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1 291 MWh</w:t>
            </w:r>
          </w:p>
        </w:tc>
      </w:tr>
      <w:tr w:rsidR="00015ECC" w:rsidRPr="009C28F4" w14:paraId="19C31B2A"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C62EE21" w14:textId="77777777" w:rsidR="00015ECC" w:rsidRPr="009C28F4" w:rsidRDefault="00015ECC" w:rsidP="006212D0">
            <w:pPr>
              <w:jc w:val="left"/>
              <w:rPr>
                <w:rFonts w:eastAsia="Times New Roman" w:cs="Calibri"/>
                <w:color w:val="000000"/>
              </w:rPr>
            </w:pPr>
            <w:r w:rsidRPr="009C28F4">
              <w:rPr>
                <w:rFonts w:eastAsia="Times New Roman" w:cs="Calibri"/>
                <w:color w:val="000000"/>
              </w:rPr>
              <w:t>Milon-la-Chapelle</w:t>
            </w:r>
          </w:p>
        </w:tc>
        <w:tc>
          <w:tcPr>
            <w:tcW w:w="3260" w:type="dxa"/>
            <w:noWrap/>
            <w:hideMark/>
          </w:tcPr>
          <w:p w14:paraId="3A562CB3"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612 MWh</w:t>
            </w:r>
          </w:p>
        </w:tc>
        <w:tc>
          <w:tcPr>
            <w:tcW w:w="3118" w:type="dxa"/>
            <w:noWrap/>
            <w:hideMark/>
          </w:tcPr>
          <w:p w14:paraId="16FD9829"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0,0 MWh</w:t>
            </w:r>
          </w:p>
        </w:tc>
      </w:tr>
      <w:tr w:rsidR="00015ECC" w:rsidRPr="009C28F4" w14:paraId="0206EA44"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CF5CB8F" w14:textId="77777777" w:rsidR="00015ECC" w:rsidRPr="009C28F4" w:rsidRDefault="00015ECC" w:rsidP="006212D0">
            <w:pPr>
              <w:jc w:val="left"/>
              <w:rPr>
                <w:rFonts w:eastAsia="Times New Roman" w:cs="Calibri"/>
                <w:color w:val="000000"/>
              </w:rPr>
            </w:pPr>
            <w:r w:rsidRPr="009C28F4">
              <w:rPr>
                <w:rFonts w:eastAsia="Times New Roman" w:cs="Calibri"/>
                <w:color w:val="000000"/>
              </w:rPr>
              <w:t>Saint-Forget</w:t>
            </w:r>
          </w:p>
        </w:tc>
        <w:tc>
          <w:tcPr>
            <w:tcW w:w="3260" w:type="dxa"/>
            <w:noWrap/>
            <w:hideMark/>
          </w:tcPr>
          <w:p w14:paraId="2C8F1AB8"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1 041 MWh</w:t>
            </w:r>
          </w:p>
        </w:tc>
        <w:tc>
          <w:tcPr>
            <w:tcW w:w="3118" w:type="dxa"/>
            <w:noWrap/>
            <w:hideMark/>
          </w:tcPr>
          <w:p w14:paraId="0900E2BC"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0,0 MWh</w:t>
            </w:r>
          </w:p>
        </w:tc>
      </w:tr>
      <w:tr w:rsidR="00015ECC" w:rsidRPr="009C28F4" w14:paraId="69A93642"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E55ED5F" w14:textId="77777777" w:rsidR="00015ECC" w:rsidRPr="009C28F4" w:rsidRDefault="00015ECC" w:rsidP="006212D0">
            <w:pPr>
              <w:jc w:val="left"/>
              <w:rPr>
                <w:rFonts w:eastAsia="Times New Roman" w:cs="Calibri"/>
                <w:color w:val="000000"/>
              </w:rPr>
            </w:pPr>
            <w:r w:rsidRPr="009C28F4">
              <w:rPr>
                <w:rFonts w:eastAsia="Times New Roman" w:cs="Calibri"/>
                <w:color w:val="000000"/>
              </w:rPr>
              <w:t>Saint-Lambert</w:t>
            </w:r>
          </w:p>
        </w:tc>
        <w:tc>
          <w:tcPr>
            <w:tcW w:w="3260" w:type="dxa"/>
            <w:noWrap/>
            <w:hideMark/>
          </w:tcPr>
          <w:p w14:paraId="218037F9"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943 MWh</w:t>
            </w:r>
          </w:p>
        </w:tc>
        <w:tc>
          <w:tcPr>
            <w:tcW w:w="3118" w:type="dxa"/>
            <w:noWrap/>
            <w:hideMark/>
          </w:tcPr>
          <w:p w14:paraId="4EF0097F"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232 MWh</w:t>
            </w:r>
          </w:p>
        </w:tc>
      </w:tr>
      <w:tr w:rsidR="00015ECC" w:rsidRPr="009C28F4" w14:paraId="06875614"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B937C1D" w14:textId="77777777" w:rsidR="00015ECC" w:rsidRPr="009C28F4" w:rsidRDefault="00015ECC" w:rsidP="006212D0">
            <w:pPr>
              <w:jc w:val="left"/>
              <w:rPr>
                <w:rFonts w:eastAsia="Times New Roman" w:cs="Calibri"/>
                <w:color w:val="000000"/>
              </w:rPr>
            </w:pPr>
            <w:r w:rsidRPr="009C28F4">
              <w:rPr>
                <w:rFonts w:eastAsia="Times New Roman" w:cs="Calibri"/>
                <w:color w:val="000000"/>
              </w:rPr>
              <w:t>Saint-Rémy-lès-Chevreuse</w:t>
            </w:r>
          </w:p>
        </w:tc>
        <w:tc>
          <w:tcPr>
            <w:tcW w:w="3260" w:type="dxa"/>
            <w:noWrap/>
            <w:hideMark/>
          </w:tcPr>
          <w:p w14:paraId="040D1ADD"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13 496 MWh</w:t>
            </w:r>
          </w:p>
        </w:tc>
        <w:tc>
          <w:tcPr>
            <w:tcW w:w="3118" w:type="dxa"/>
            <w:noWrap/>
            <w:hideMark/>
          </w:tcPr>
          <w:p w14:paraId="05CC37DA" w14:textId="77777777" w:rsidR="00015ECC" w:rsidRPr="009C28F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cs="Calibri"/>
                <w:color w:val="000000"/>
              </w:rPr>
              <w:t>2 374 MWh</w:t>
            </w:r>
          </w:p>
        </w:tc>
      </w:tr>
      <w:tr w:rsidR="00015ECC" w:rsidRPr="009C28F4" w14:paraId="57405668" w14:textId="77777777" w:rsidTr="00015EC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0FDF35E" w14:textId="77777777" w:rsidR="00015ECC" w:rsidRPr="009C28F4" w:rsidRDefault="00015ECC" w:rsidP="006212D0">
            <w:pPr>
              <w:jc w:val="left"/>
              <w:rPr>
                <w:rFonts w:eastAsia="Times New Roman" w:cs="Calibri"/>
                <w:color w:val="000000"/>
              </w:rPr>
            </w:pPr>
            <w:r w:rsidRPr="009C28F4">
              <w:rPr>
                <w:rFonts w:eastAsia="Times New Roman" w:cs="Calibri"/>
                <w:color w:val="000000"/>
              </w:rPr>
              <w:t>Senlisse</w:t>
            </w:r>
          </w:p>
        </w:tc>
        <w:tc>
          <w:tcPr>
            <w:tcW w:w="3260" w:type="dxa"/>
            <w:noWrap/>
            <w:hideMark/>
          </w:tcPr>
          <w:p w14:paraId="796E162A"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1 172 MWh</w:t>
            </w:r>
          </w:p>
        </w:tc>
        <w:tc>
          <w:tcPr>
            <w:tcW w:w="3118" w:type="dxa"/>
            <w:noWrap/>
            <w:hideMark/>
          </w:tcPr>
          <w:p w14:paraId="0F55523B" w14:textId="77777777" w:rsidR="00015ECC" w:rsidRPr="009C28F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cs="Calibri"/>
                <w:color w:val="000000"/>
              </w:rPr>
              <w:t>0,0 MWh</w:t>
            </w:r>
          </w:p>
        </w:tc>
      </w:tr>
      <w:tr w:rsidR="00015ECC" w:rsidRPr="009C28F4" w14:paraId="2C34334D" w14:textId="77777777" w:rsidTr="00015EC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A3FBDBB" w14:textId="77777777" w:rsidR="00015ECC" w:rsidRPr="009C28F4" w:rsidRDefault="00015ECC" w:rsidP="006212D0">
            <w:pPr>
              <w:jc w:val="left"/>
              <w:rPr>
                <w:rFonts w:ascii="Arial" w:eastAsia="Times New Roman" w:hAnsi="Arial" w:cs="Arial"/>
                <w:b/>
                <w:bCs/>
                <w:color w:val="000000"/>
                <w:sz w:val="20"/>
                <w:szCs w:val="20"/>
              </w:rPr>
            </w:pPr>
            <w:r w:rsidRPr="009C28F4">
              <w:rPr>
                <w:rFonts w:ascii="Arial" w:eastAsia="Times New Roman" w:hAnsi="Arial" w:cs="Arial"/>
                <w:b/>
                <w:bCs/>
                <w:color w:val="000000"/>
                <w:sz w:val="20"/>
                <w:szCs w:val="20"/>
              </w:rPr>
              <w:t>Total général</w:t>
            </w:r>
          </w:p>
        </w:tc>
        <w:tc>
          <w:tcPr>
            <w:tcW w:w="3260" w:type="dxa"/>
            <w:noWrap/>
            <w:hideMark/>
          </w:tcPr>
          <w:p w14:paraId="5A5E82A1" w14:textId="77777777" w:rsidR="00015ECC" w:rsidRPr="00B16F15"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rPr>
            </w:pPr>
            <w:r w:rsidRPr="00B16F15">
              <w:rPr>
                <w:rFonts w:ascii="Arial" w:eastAsia="Times New Roman" w:hAnsi="Arial" w:cs="Arial"/>
                <w:b/>
                <w:bCs/>
                <w:color w:val="000000"/>
                <w:sz w:val="20"/>
                <w:szCs w:val="20"/>
              </w:rPr>
              <w:t xml:space="preserve">42 962 </w:t>
            </w:r>
            <w:r w:rsidRPr="00B16F15">
              <w:rPr>
                <w:rFonts w:cs="Calibri"/>
                <w:b/>
                <w:bCs/>
                <w:color w:val="000000"/>
              </w:rPr>
              <w:t>MWh</w:t>
            </w:r>
          </w:p>
        </w:tc>
        <w:tc>
          <w:tcPr>
            <w:tcW w:w="3118" w:type="dxa"/>
            <w:noWrap/>
            <w:hideMark/>
          </w:tcPr>
          <w:p w14:paraId="76C63034" w14:textId="5560AD3E" w:rsidR="00015ECC" w:rsidRPr="00B16F15" w:rsidRDefault="00792938" w:rsidP="006212D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rPr>
            </w:pPr>
            <w:r>
              <w:rPr>
                <w:rFonts w:ascii="Arial" w:eastAsia="Times New Roman" w:hAnsi="Arial" w:cs="Arial"/>
                <w:b/>
                <w:bCs/>
                <w:color w:val="000000"/>
                <w:sz w:val="20"/>
                <w:szCs w:val="20"/>
              </w:rPr>
              <w:t>6 821</w:t>
            </w:r>
            <w:r w:rsidR="00015ECC" w:rsidRPr="00B16F15">
              <w:rPr>
                <w:rFonts w:ascii="Arial" w:eastAsia="Times New Roman" w:hAnsi="Arial" w:cs="Arial"/>
                <w:b/>
                <w:bCs/>
                <w:color w:val="000000"/>
                <w:sz w:val="20"/>
                <w:szCs w:val="20"/>
              </w:rPr>
              <w:t xml:space="preserve"> </w:t>
            </w:r>
            <w:r w:rsidR="00015ECC" w:rsidRPr="00B16F15">
              <w:rPr>
                <w:rFonts w:cs="Calibri"/>
                <w:b/>
                <w:bCs/>
                <w:color w:val="000000"/>
              </w:rPr>
              <w:t>MWh</w:t>
            </w:r>
          </w:p>
        </w:tc>
      </w:tr>
    </w:tbl>
    <w:p w14:paraId="69A0E6EA" w14:textId="2E01AF9E" w:rsidR="00015ECC" w:rsidRPr="003C0FF4" w:rsidRDefault="00015ECC" w:rsidP="00015ECC">
      <w:pPr>
        <w:rPr>
          <w:b/>
          <w:bCs/>
        </w:rPr>
      </w:pPr>
    </w:p>
    <w:p w14:paraId="0F511B11" w14:textId="77777777" w:rsidR="003C0FF4" w:rsidRDefault="003C0FF4">
      <w:pPr>
        <w:spacing w:after="200" w:line="276" w:lineRule="auto"/>
        <w:jc w:val="left"/>
        <w:rPr>
          <w:b/>
          <w:bCs/>
        </w:rPr>
      </w:pPr>
      <w:r>
        <w:rPr>
          <w:b/>
          <w:bCs/>
        </w:rPr>
        <w:br w:type="page"/>
      </w:r>
    </w:p>
    <w:p w14:paraId="59B6E14E" w14:textId="1B48F9CA" w:rsidR="00792938" w:rsidRPr="00C05E67" w:rsidRDefault="00792938" w:rsidP="00015ECC">
      <w:pPr>
        <w:rPr>
          <w:b/>
          <w:bCs/>
        </w:rPr>
      </w:pPr>
      <w:r w:rsidRPr="003C0FF4">
        <w:rPr>
          <w:b/>
          <w:bCs/>
        </w:rPr>
        <w:lastRenderedPageBreak/>
        <w:t xml:space="preserve">PV ombrières parkings - Répartition </w:t>
      </w:r>
      <w:r w:rsidR="003C0FF4">
        <w:rPr>
          <w:b/>
          <w:bCs/>
        </w:rPr>
        <w:t xml:space="preserve">par commune </w:t>
      </w:r>
      <w:r w:rsidRPr="003C0FF4">
        <w:rPr>
          <w:b/>
          <w:bCs/>
        </w:rPr>
        <w:t>du potentiel net disponible (hors périmètre de protection des monuments historiques)</w:t>
      </w:r>
      <w:r w:rsidR="003C0FF4">
        <w:rPr>
          <w:b/>
          <w:bCs/>
        </w:rPr>
        <w:t xml:space="preserve"> </w:t>
      </w:r>
      <w:r w:rsidRPr="003C0FF4">
        <w:rPr>
          <w:b/>
          <w:bCs/>
        </w:rPr>
        <w:t xml:space="preserve">: </w:t>
      </w:r>
    </w:p>
    <w:tbl>
      <w:tblPr>
        <w:tblStyle w:val="AKAtab1"/>
        <w:tblW w:w="9067" w:type="dxa"/>
        <w:tblLayout w:type="fixed"/>
        <w:tblLook w:val="04A0" w:firstRow="1" w:lastRow="0" w:firstColumn="1" w:lastColumn="0" w:noHBand="0" w:noVBand="1"/>
      </w:tblPr>
      <w:tblGrid>
        <w:gridCol w:w="2689"/>
        <w:gridCol w:w="3260"/>
        <w:gridCol w:w="3118"/>
      </w:tblGrid>
      <w:tr w:rsidR="00792938" w:rsidRPr="009C28F4" w14:paraId="20606BF4" w14:textId="77777777" w:rsidTr="00334612">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689" w:type="dxa"/>
            <w:vMerge w:val="restart"/>
            <w:noWrap/>
            <w:hideMark/>
          </w:tcPr>
          <w:p w14:paraId="601E5026" w14:textId="77777777" w:rsidR="00792938" w:rsidRPr="009C28F4" w:rsidRDefault="00792938" w:rsidP="00334612">
            <w:pPr>
              <w:jc w:val="left"/>
              <w:rPr>
                <w:rFonts w:ascii="Arial" w:eastAsia="Times New Roman" w:hAnsi="Arial" w:cs="Arial"/>
                <w:b w:val="0"/>
                <w:bCs/>
                <w:color w:val="000000"/>
                <w:sz w:val="20"/>
                <w:szCs w:val="20"/>
              </w:rPr>
            </w:pPr>
            <w:r w:rsidRPr="009C28F4">
              <w:rPr>
                <w:rFonts w:ascii="Arial" w:eastAsia="Times New Roman" w:hAnsi="Arial" w:cs="Arial"/>
                <w:b w:val="0"/>
                <w:bCs/>
                <w:color w:val="000000"/>
                <w:sz w:val="20"/>
                <w:szCs w:val="20"/>
              </w:rPr>
              <w:t>Commune</w:t>
            </w:r>
          </w:p>
        </w:tc>
        <w:tc>
          <w:tcPr>
            <w:tcW w:w="3260" w:type="dxa"/>
            <w:vMerge w:val="restart"/>
            <w:hideMark/>
          </w:tcPr>
          <w:p w14:paraId="05F5B1E7" w14:textId="653613B2" w:rsidR="00792938" w:rsidRPr="009C28F4" w:rsidRDefault="004D1642" w:rsidP="0033461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20"/>
                <w:szCs w:val="20"/>
              </w:rPr>
            </w:pPr>
            <w:r>
              <w:rPr>
                <w:rFonts w:ascii="Arial" w:eastAsia="Times New Roman" w:hAnsi="Arial" w:cs="Arial"/>
                <w:b w:val="0"/>
                <w:bCs/>
                <w:color w:val="000000"/>
                <w:sz w:val="20"/>
                <w:szCs w:val="20"/>
              </w:rPr>
              <w:t xml:space="preserve">Surface </w:t>
            </w:r>
          </w:p>
        </w:tc>
        <w:tc>
          <w:tcPr>
            <w:tcW w:w="3118" w:type="dxa"/>
            <w:vMerge w:val="restart"/>
            <w:hideMark/>
          </w:tcPr>
          <w:p w14:paraId="3DB69434" w14:textId="2D7FD884" w:rsidR="00792938" w:rsidRPr="009C28F4" w:rsidRDefault="004D1642" w:rsidP="0033461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20"/>
                <w:szCs w:val="20"/>
              </w:rPr>
            </w:pPr>
            <w:r>
              <w:rPr>
                <w:rFonts w:ascii="Arial" w:eastAsia="Times New Roman" w:hAnsi="Arial" w:cs="Arial"/>
                <w:b w:val="0"/>
                <w:bCs/>
                <w:color w:val="000000"/>
                <w:sz w:val="20"/>
                <w:szCs w:val="20"/>
              </w:rPr>
              <w:t>Production</w:t>
            </w:r>
          </w:p>
        </w:tc>
      </w:tr>
      <w:tr w:rsidR="00792938" w:rsidRPr="009C28F4" w14:paraId="7311393B" w14:textId="77777777" w:rsidTr="00334612">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689" w:type="dxa"/>
            <w:vMerge/>
            <w:hideMark/>
          </w:tcPr>
          <w:p w14:paraId="2E1A3A0C" w14:textId="77777777" w:rsidR="00792938" w:rsidRPr="009C28F4" w:rsidRDefault="00792938" w:rsidP="00334612">
            <w:pPr>
              <w:jc w:val="left"/>
              <w:rPr>
                <w:rFonts w:ascii="Arial" w:eastAsia="Times New Roman" w:hAnsi="Arial" w:cs="Arial"/>
                <w:b/>
                <w:bCs/>
                <w:color w:val="000000"/>
                <w:sz w:val="20"/>
                <w:szCs w:val="20"/>
              </w:rPr>
            </w:pPr>
          </w:p>
        </w:tc>
        <w:tc>
          <w:tcPr>
            <w:tcW w:w="3260" w:type="dxa"/>
            <w:vMerge/>
            <w:hideMark/>
          </w:tcPr>
          <w:p w14:paraId="3F319FFF" w14:textId="77777777" w:rsidR="00792938" w:rsidRPr="009C28F4" w:rsidRDefault="00792938" w:rsidP="0033461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rPr>
            </w:pPr>
          </w:p>
        </w:tc>
        <w:tc>
          <w:tcPr>
            <w:tcW w:w="3118" w:type="dxa"/>
            <w:vMerge/>
            <w:hideMark/>
          </w:tcPr>
          <w:p w14:paraId="6DD3D7F8" w14:textId="77777777" w:rsidR="00792938" w:rsidRPr="009C28F4" w:rsidRDefault="00792938" w:rsidP="0033461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rPr>
            </w:pPr>
          </w:p>
        </w:tc>
      </w:tr>
      <w:tr w:rsidR="004D1642" w:rsidRPr="009C28F4" w14:paraId="3D89ED81" w14:textId="77777777" w:rsidTr="00CA296F">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6CD7B40" w14:textId="77777777" w:rsidR="004D1642" w:rsidRPr="009C28F4" w:rsidRDefault="004D1642" w:rsidP="004D1642">
            <w:pPr>
              <w:jc w:val="left"/>
              <w:rPr>
                <w:rFonts w:eastAsia="Times New Roman" w:cs="Calibri"/>
                <w:color w:val="000000"/>
              </w:rPr>
            </w:pPr>
            <w:r w:rsidRPr="009C28F4">
              <w:rPr>
                <w:rFonts w:eastAsia="Times New Roman" w:cs="Calibri"/>
                <w:color w:val="000000"/>
              </w:rPr>
              <w:t>Chevreuse</w:t>
            </w:r>
          </w:p>
        </w:tc>
        <w:tc>
          <w:tcPr>
            <w:tcW w:w="3260" w:type="dxa"/>
            <w:noWrap/>
            <w:vAlign w:val="bottom"/>
          </w:tcPr>
          <w:p w14:paraId="43FE38F7" w14:textId="0E299BEF"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3976 m²</w:t>
            </w:r>
          </w:p>
        </w:tc>
        <w:tc>
          <w:tcPr>
            <w:tcW w:w="3118" w:type="dxa"/>
            <w:noWrap/>
            <w:vAlign w:val="bottom"/>
          </w:tcPr>
          <w:p w14:paraId="0ADC392B" w14:textId="5221CDD4"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671 MWh</w:t>
            </w:r>
          </w:p>
        </w:tc>
      </w:tr>
      <w:tr w:rsidR="004D1642" w:rsidRPr="009C28F4" w14:paraId="30F950AE" w14:textId="77777777" w:rsidTr="00CA296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F694142" w14:textId="77777777" w:rsidR="004D1642" w:rsidRPr="009C28F4" w:rsidRDefault="004D1642" w:rsidP="004D1642">
            <w:pPr>
              <w:jc w:val="left"/>
              <w:rPr>
                <w:rFonts w:eastAsia="Times New Roman" w:cs="Calibri"/>
                <w:color w:val="000000"/>
              </w:rPr>
            </w:pPr>
            <w:r w:rsidRPr="009C28F4">
              <w:rPr>
                <w:rFonts w:eastAsia="Times New Roman" w:cs="Calibri"/>
                <w:color w:val="000000"/>
              </w:rPr>
              <w:t>Choisel</w:t>
            </w:r>
          </w:p>
        </w:tc>
        <w:tc>
          <w:tcPr>
            <w:tcW w:w="3260" w:type="dxa"/>
            <w:noWrap/>
            <w:vAlign w:val="bottom"/>
          </w:tcPr>
          <w:p w14:paraId="33F96130" w14:textId="103DFD0F"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0 m²</w:t>
            </w:r>
          </w:p>
        </w:tc>
        <w:tc>
          <w:tcPr>
            <w:tcW w:w="3118" w:type="dxa"/>
            <w:noWrap/>
            <w:vAlign w:val="bottom"/>
          </w:tcPr>
          <w:p w14:paraId="01122A9C" w14:textId="5A4FCF57"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0 MWh</w:t>
            </w:r>
          </w:p>
        </w:tc>
      </w:tr>
      <w:tr w:rsidR="004D1642" w:rsidRPr="009C28F4" w14:paraId="10A69238" w14:textId="77777777" w:rsidTr="00CA296F">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798EAEB" w14:textId="77777777" w:rsidR="004D1642" w:rsidRPr="009C28F4" w:rsidRDefault="004D1642" w:rsidP="004D1642">
            <w:pPr>
              <w:jc w:val="left"/>
              <w:rPr>
                <w:rFonts w:eastAsia="Times New Roman" w:cs="Calibri"/>
                <w:color w:val="000000"/>
              </w:rPr>
            </w:pPr>
            <w:r w:rsidRPr="009C28F4">
              <w:rPr>
                <w:rFonts w:eastAsia="Times New Roman" w:cs="Calibri"/>
                <w:color w:val="000000"/>
              </w:rPr>
              <w:t>Dampierre-en-Yvelines</w:t>
            </w:r>
          </w:p>
        </w:tc>
        <w:tc>
          <w:tcPr>
            <w:tcW w:w="3260" w:type="dxa"/>
            <w:noWrap/>
            <w:vAlign w:val="bottom"/>
          </w:tcPr>
          <w:p w14:paraId="70791831" w14:textId="7054F561"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699 m²</w:t>
            </w:r>
          </w:p>
        </w:tc>
        <w:tc>
          <w:tcPr>
            <w:tcW w:w="3118" w:type="dxa"/>
            <w:noWrap/>
            <w:vAlign w:val="bottom"/>
          </w:tcPr>
          <w:p w14:paraId="70A1F7A6" w14:textId="10692874"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118 MWh</w:t>
            </w:r>
          </w:p>
        </w:tc>
      </w:tr>
      <w:tr w:rsidR="004D1642" w:rsidRPr="009C28F4" w14:paraId="6F8E9046" w14:textId="77777777" w:rsidTr="00CA296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1442C02" w14:textId="77777777" w:rsidR="004D1642" w:rsidRPr="009C28F4" w:rsidRDefault="004D1642" w:rsidP="004D1642">
            <w:pPr>
              <w:jc w:val="left"/>
              <w:rPr>
                <w:rFonts w:eastAsia="Times New Roman" w:cs="Calibri"/>
                <w:color w:val="000000"/>
              </w:rPr>
            </w:pPr>
            <w:r w:rsidRPr="009C28F4">
              <w:rPr>
                <w:rFonts w:eastAsia="Times New Roman" w:cs="Calibri"/>
                <w:color w:val="000000"/>
              </w:rPr>
              <w:t>Lévis-Saint-Nom</w:t>
            </w:r>
          </w:p>
        </w:tc>
        <w:tc>
          <w:tcPr>
            <w:tcW w:w="3260" w:type="dxa"/>
            <w:noWrap/>
            <w:vAlign w:val="bottom"/>
          </w:tcPr>
          <w:p w14:paraId="0F593560" w14:textId="16B0F040"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1 606 m²</w:t>
            </w:r>
          </w:p>
        </w:tc>
        <w:tc>
          <w:tcPr>
            <w:tcW w:w="3118" w:type="dxa"/>
            <w:noWrap/>
            <w:vAlign w:val="bottom"/>
          </w:tcPr>
          <w:p w14:paraId="6C6165E2" w14:textId="4806968E"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272 MWh</w:t>
            </w:r>
          </w:p>
        </w:tc>
      </w:tr>
      <w:tr w:rsidR="004D1642" w:rsidRPr="009C28F4" w14:paraId="34910911" w14:textId="77777777" w:rsidTr="00CA296F">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B41D354" w14:textId="77777777" w:rsidR="004D1642" w:rsidRPr="009C28F4" w:rsidRDefault="004D1642" w:rsidP="004D1642">
            <w:pPr>
              <w:jc w:val="left"/>
              <w:rPr>
                <w:rFonts w:eastAsia="Times New Roman" w:cs="Calibri"/>
                <w:color w:val="000000"/>
              </w:rPr>
            </w:pPr>
            <w:r w:rsidRPr="009C28F4">
              <w:rPr>
                <w:rFonts w:eastAsia="Times New Roman" w:cs="Calibri"/>
                <w:color w:val="000000"/>
              </w:rPr>
              <w:t>Le Mesnil-Saint-Denis</w:t>
            </w:r>
          </w:p>
        </w:tc>
        <w:tc>
          <w:tcPr>
            <w:tcW w:w="3260" w:type="dxa"/>
            <w:noWrap/>
            <w:vAlign w:val="bottom"/>
          </w:tcPr>
          <w:p w14:paraId="375507C5" w14:textId="1CFD7F39"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2 270 m²</w:t>
            </w:r>
          </w:p>
        </w:tc>
        <w:tc>
          <w:tcPr>
            <w:tcW w:w="3118" w:type="dxa"/>
            <w:noWrap/>
            <w:vAlign w:val="bottom"/>
          </w:tcPr>
          <w:p w14:paraId="5417EAA1" w14:textId="5B6FA8FA"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387 MWh</w:t>
            </w:r>
          </w:p>
        </w:tc>
      </w:tr>
      <w:tr w:rsidR="004D1642" w:rsidRPr="009C28F4" w14:paraId="5B872001" w14:textId="77777777" w:rsidTr="00CA296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B159E34" w14:textId="77777777" w:rsidR="004D1642" w:rsidRPr="009C28F4" w:rsidRDefault="004D1642" w:rsidP="004D1642">
            <w:pPr>
              <w:jc w:val="left"/>
              <w:rPr>
                <w:rFonts w:eastAsia="Times New Roman" w:cs="Calibri"/>
                <w:color w:val="000000"/>
              </w:rPr>
            </w:pPr>
            <w:r w:rsidRPr="009C28F4">
              <w:rPr>
                <w:rFonts w:eastAsia="Times New Roman" w:cs="Calibri"/>
                <w:color w:val="000000"/>
              </w:rPr>
              <w:t>Milon-la-Chapelle</w:t>
            </w:r>
          </w:p>
        </w:tc>
        <w:tc>
          <w:tcPr>
            <w:tcW w:w="3260" w:type="dxa"/>
            <w:noWrap/>
            <w:vAlign w:val="bottom"/>
          </w:tcPr>
          <w:p w14:paraId="4763003D" w14:textId="785EBCB2"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0 m²</w:t>
            </w:r>
          </w:p>
        </w:tc>
        <w:tc>
          <w:tcPr>
            <w:tcW w:w="3118" w:type="dxa"/>
            <w:noWrap/>
            <w:vAlign w:val="bottom"/>
          </w:tcPr>
          <w:p w14:paraId="3C0D0BB6" w14:textId="0581A2C3"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0 MWh</w:t>
            </w:r>
          </w:p>
        </w:tc>
      </w:tr>
      <w:tr w:rsidR="004D1642" w:rsidRPr="009C28F4" w14:paraId="6504EEE2" w14:textId="77777777" w:rsidTr="00CA296F">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9E3ACDD" w14:textId="77777777" w:rsidR="004D1642" w:rsidRPr="009C28F4" w:rsidRDefault="004D1642" w:rsidP="004D1642">
            <w:pPr>
              <w:jc w:val="left"/>
              <w:rPr>
                <w:rFonts w:eastAsia="Times New Roman" w:cs="Calibri"/>
                <w:color w:val="000000"/>
              </w:rPr>
            </w:pPr>
            <w:r w:rsidRPr="009C28F4">
              <w:rPr>
                <w:rFonts w:eastAsia="Times New Roman" w:cs="Calibri"/>
                <w:color w:val="000000"/>
              </w:rPr>
              <w:t>Saint-Forget</w:t>
            </w:r>
          </w:p>
        </w:tc>
        <w:tc>
          <w:tcPr>
            <w:tcW w:w="3260" w:type="dxa"/>
            <w:noWrap/>
            <w:vAlign w:val="bottom"/>
          </w:tcPr>
          <w:p w14:paraId="5E6B86B4" w14:textId="0F567C20"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0 m²</w:t>
            </w:r>
          </w:p>
        </w:tc>
        <w:tc>
          <w:tcPr>
            <w:tcW w:w="3118" w:type="dxa"/>
            <w:noWrap/>
            <w:vAlign w:val="bottom"/>
          </w:tcPr>
          <w:p w14:paraId="5E1BA139" w14:textId="161A35FB"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0 MWh</w:t>
            </w:r>
          </w:p>
        </w:tc>
      </w:tr>
      <w:tr w:rsidR="004D1642" w:rsidRPr="009C28F4" w14:paraId="436585D3" w14:textId="77777777" w:rsidTr="00CA296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94D3284" w14:textId="77777777" w:rsidR="004D1642" w:rsidRPr="009C28F4" w:rsidRDefault="004D1642" w:rsidP="004D1642">
            <w:pPr>
              <w:jc w:val="left"/>
              <w:rPr>
                <w:rFonts w:eastAsia="Times New Roman" w:cs="Calibri"/>
                <w:color w:val="000000"/>
              </w:rPr>
            </w:pPr>
            <w:r w:rsidRPr="009C28F4">
              <w:rPr>
                <w:rFonts w:eastAsia="Times New Roman" w:cs="Calibri"/>
                <w:color w:val="000000"/>
              </w:rPr>
              <w:t>Saint-Lambert</w:t>
            </w:r>
          </w:p>
        </w:tc>
        <w:tc>
          <w:tcPr>
            <w:tcW w:w="3260" w:type="dxa"/>
            <w:noWrap/>
            <w:vAlign w:val="bottom"/>
          </w:tcPr>
          <w:p w14:paraId="7197A055" w14:textId="7348C423"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382 m²</w:t>
            </w:r>
          </w:p>
        </w:tc>
        <w:tc>
          <w:tcPr>
            <w:tcW w:w="3118" w:type="dxa"/>
            <w:noWrap/>
            <w:vAlign w:val="bottom"/>
          </w:tcPr>
          <w:p w14:paraId="60EEC76D" w14:textId="36DEA594"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65 MWh</w:t>
            </w:r>
          </w:p>
        </w:tc>
      </w:tr>
      <w:tr w:rsidR="004D1642" w:rsidRPr="009C28F4" w14:paraId="6FF03438" w14:textId="77777777" w:rsidTr="00CA296F">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28CBD8B4" w14:textId="77777777" w:rsidR="004D1642" w:rsidRPr="009C28F4" w:rsidRDefault="004D1642" w:rsidP="004D1642">
            <w:pPr>
              <w:jc w:val="left"/>
              <w:rPr>
                <w:rFonts w:eastAsia="Times New Roman" w:cs="Calibri"/>
                <w:color w:val="000000"/>
              </w:rPr>
            </w:pPr>
            <w:r w:rsidRPr="009C28F4">
              <w:rPr>
                <w:rFonts w:eastAsia="Times New Roman" w:cs="Calibri"/>
                <w:color w:val="000000"/>
              </w:rPr>
              <w:t>Saint-Rémy-lès-Chevreuse</w:t>
            </w:r>
          </w:p>
        </w:tc>
        <w:tc>
          <w:tcPr>
            <w:tcW w:w="3260" w:type="dxa"/>
            <w:noWrap/>
            <w:vAlign w:val="bottom"/>
          </w:tcPr>
          <w:p w14:paraId="2F453E32" w14:textId="44067B7C"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14 005 m²</w:t>
            </w:r>
          </w:p>
        </w:tc>
        <w:tc>
          <w:tcPr>
            <w:tcW w:w="3118" w:type="dxa"/>
            <w:noWrap/>
            <w:vAlign w:val="bottom"/>
          </w:tcPr>
          <w:p w14:paraId="0E6FBE9D" w14:textId="1B79474C" w:rsidR="004D1642" w:rsidRPr="009C28F4" w:rsidRDefault="004D1642" w:rsidP="004D1642">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Pr>
                <w:rFonts w:ascii="Calibri" w:hAnsi="Calibri" w:cs="Calibri"/>
                <w:color w:val="000000"/>
              </w:rPr>
              <w:t>2 374 MWh</w:t>
            </w:r>
          </w:p>
        </w:tc>
      </w:tr>
      <w:tr w:rsidR="004D1642" w:rsidRPr="009C28F4" w14:paraId="64D369C8" w14:textId="77777777" w:rsidTr="00CA296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D104878" w14:textId="77777777" w:rsidR="004D1642" w:rsidRPr="009C28F4" w:rsidRDefault="004D1642" w:rsidP="004D1642">
            <w:pPr>
              <w:jc w:val="left"/>
              <w:rPr>
                <w:rFonts w:eastAsia="Times New Roman" w:cs="Calibri"/>
                <w:color w:val="000000"/>
              </w:rPr>
            </w:pPr>
            <w:r w:rsidRPr="009C28F4">
              <w:rPr>
                <w:rFonts w:eastAsia="Times New Roman" w:cs="Calibri"/>
                <w:color w:val="000000"/>
              </w:rPr>
              <w:t>Senlisse</w:t>
            </w:r>
          </w:p>
        </w:tc>
        <w:tc>
          <w:tcPr>
            <w:tcW w:w="3260" w:type="dxa"/>
            <w:noWrap/>
            <w:vAlign w:val="bottom"/>
          </w:tcPr>
          <w:p w14:paraId="24B914D0" w14:textId="434A2812"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0 m²</w:t>
            </w:r>
          </w:p>
        </w:tc>
        <w:tc>
          <w:tcPr>
            <w:tcW w:w="3118" w:type="dxa"/>
            <w:noWrap/>
            <w:vAlign w:val="bottom"/>
          </w:tcPr>
          <w:p w14:paraId="6B6034B8" w14:textId="0013D248" w:rsidR="004D1642" w:rsidRPr="009C28F4" w:rsidRDefault="004D1642" w:rsidP="004D1642">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Pr>
                <w:rFonts w:ascii="Calibri" w:hAnsi="Calibri" w:cs="Calibri"/>
                <w:color w:val="000000"/>
              </w:rPr>
              <w:t>0 MWh</w:t>
            </w:r>
          </w:p>
        </w:tc>
      </w:tr>
      <w:tr w:rsidR="004D1642" w:rsidRPr="009C28F4" w14:paraId="7EC20BA9" w14:textId="77777777" w:rsidTr="00CA296F">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D8E1013" w14:textId="77777777" w:rsidR="004D1642" w:rsidRPr="009C28F4" w:rsidRDefault="004D1642" w:rsidP="004D1642">
            <w:pPr>
              <w:jc w:val="left"/>
              <w:rPr>
                <w:rFonts w:ascii="Arial" w:eastAsia="Times New Roman" w:hAnsi="Arial" w:cs="Arial"/>
                <w:b/>
                <w:bCs/>
                <w:color w:val="000000"/>
                <w:sz w:val="20"/>
                <w:szCs w:val="20"/>
              </w:rPr>
            </w:pPr>
            <w:r w:rsidRPr="009C28F4">
              <w:rPr>
                <w:rFonts w:ascii="Arial" w:eastAsia="Times New Roman" w:hAnsi="Arial" w:cs="Arial"/>
                <w:b/>
                <w:bCs/>
                <w:color w:val="000000"/>
                <w:sz w:val="20"/>
                <w:szCs w:val="20"/>
              </w:rPr>
              <w:t>Total général</w:t>
            </w:r>
          </w:p>
        </w:tc>
        <w:tc>
          <w:tcPr>
            <w:tcW w:w="3260" w:type="dxa"/>
            <w:noWrap/>
            <w:vAlign w:val="bottom"/>
          </w:tcPr>
          <w:p w14:paraId="6E0B6A63" w14:textId="5BBB5A6E" w:rsidR="004D1642" w:rsidRPr="004D1642" w:rsidRDefault="004D1642" w:rsidP="004D1642">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rPr>
            </w:pPr>
            <w:r w:rsidRPr="004D1642">
              <w:rPr>
                <w:rFonts w:ascii="Arial" w:hAnsi="Arial" w:cs="Arial"/>
                <w:b/>
                <w:bCs/>
                <w:color w:val="000000"/>
                <w:sz w:val="20"/>
                <w:szCs w:val="20"/>
              </w:rPr>
              <w:t xml:space="preserve">22 938 </w:t>
            </w:r>
            <w:r w:rsidRPr="004D1642">
              <w:rPr>
                <w:rFonts w:ascii="Calibri" w:hAnsi="Calibri" w:cs="Calibri"/>
                <w:b/>
                <w:bCs/>
                <w:color w:val="000000"/>
              </w:rPr>
              <w:t>m²</w:t>
            </w:r>
          </w:p>
        </w:tc>
        <w:tc>
          <w:tcPr>
            <w:tcW w:w="3118" w:type="dxa"/>
            <w:noWrap/>
            <w:vAlign w:val="bottom"/>
          </w:tcPr>
          <w:p w14:paraId="46FD4EBA" w14:textId="40085A34" w:rsidR="004D1642" w:rsidRPr="004D1642" w:rsidRDefault="004D1642" w:rsidP="004D1642">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sz w:val="20"/>
                <w:szCs w:val="20"/>
              </w:rPr>
            </w:pPr>
            <w:r w:rsidRPr="004D1642">
              <w:rPr>
                <w:rFonts w:ascii="Arial" w:hAnsi="Arial" w:cs="Arial"/>
                <w:b/>
                <w:bCs/>
                <w:color w:val="000000"/>
                <w:sz w:val="20"/>
                <w:szCs w:val="20"/>
              </w:rPr>
              <w:t>3</w:t>
            </w:r>
            <w:r>
              <w:rPr>
                <w:rFonts w:ascii="Arial" w:hAnsi="Arial" w:cs="Arial"/>
                <w:b/>
                <w:bCs/>
                <w:color w:val="000000"/>
                <w:sz w:val="20"/>
                <w:szCs w:val="20"/>
              </w:rPr>
              <w:t xml:space="preserve"> </w:t>
            </w:r>
            <w:r w:rsidRPr="004D1642">
              <w:rPr>
                <w:rFonts w:ascii="Arial" w:hAnsi="Arial" w:cs="Arial"/>
                <w:b/>
                <w:bCs/>
                <w:color w:val="000000"/>
                <w:sz w:val="20"/>
                <w:szCs w:val="20"/>
              </w:rPr>
              <w:t xml:space="preserve">886 </w:t>
            </w:r>
            <w:r w:rsidRPr="004D1642">
              <w:rPr>
                <w:rFonts w:ascii="Calibri" w:hAnsi="Calibri" w:cs="Calibri"/>
                <w:b/>
                <w:bCs/>
                <w:color w:val="000000"/>
              </w:rPr>
              <w:t>MWh</w:t>
            </w:r>
          </w:p>
        </w:tc>
      </w:tr>
    </w:tbl>
    <w:p w14:paraId="41D7751F" w14:textId="59A38AA1" w:rsidR="003C0FF4" w:rsidRDefault="003C0FF4">
      <w:pPr>
        <w:spacing w:after="200" w:line="276" w:lineRule="auto"/>
        <w:jc w:val="left"/>
        <w:rPr>
          <w:b/>
          <w:bCs/>
        </w:rPr>
      </w:pPr>
    </w:p>
    <w:p w14:paraId="6D6AF7DF" w14:textId="01B501AE" w:rsidR="00015ECC" w:rsidRPr="003C0FF4" w:rsidRDefault="00792938" w:rsidP="00015ECC">
      <w:pPr>
        <w:rPr>
          <w:b/>
          <w:bCs/>
        </w:rPr>
      </w:pPr>
      <w:r>
        <w:rPr>
          <w:b/>
          <w:bCs/>
        </w:rPr>
        <w:lastRenderedPageBreak/>
        <w:t xml:space="preserve">PV toitures et ombrières parkings - </w:t>
      </w:r>
      <w:r w:rsidR="00015ECC" w:rsidRPr="00792938">
        <w:rPr>
          <w:b/>
          <w:bCs/>
        </w:rPr>
        <w:t xml:space="preserve">Cartographie des potentiels par commune : </w:t>
      </w:r>
    </w:p>
    <w:p w14:paraId="3BB4071F" w14:textId="246849A5" w:rsidR="00015ECC" w:rsidRDefault="00015ECC" w:rsidP="00015ECC">
      <w:pPr>
        <w:keepNext/>
        <w:jc w:val="center"/>
      </w:pPr>
      <w:r w:rsidRPr="000A7A59">
        <w:rPr>
          <w:noProof/>
        </w:rPr>
        <w:drawing>
          <wp:inline distT="0" distB="0" distL="0" distR="0" wp14:anchorId="60E0994D" wp14:editId="23660B19">
            <wp:extent cx="5471160" cy="3862137"/>
            <wp:effectExtent l="0" t="0" r="0" b="5080"/>
            <wp:docPr id="7199" name="Image 719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Image 7199" descr="Une image contenant carte&#10;&#10;Description générée automatiquement"/>
                    <pic:cNvPicPr/>
                  </pic:nvPicPr>
                  <pic:blipFill>
                    <a:blip r:embed="rId72"/>
                    <a:stretch>
                      <a:fillRect/>
                    </a:stretch>
                  </pic:blipFill>
                  <pic:spPr>
                    <a:xfrm>
                      <a:off x="0" y="0"/>
                      <a:ext cx="5473350" cy="3863683"/>
                    </a:xfrm>
                    <a:prstGeom prst="rect">
                      <a:avLst/>
                    </a:prstGeom>
                  </pic:spPr>
                </pic:pic>
              </a:graphicData>
            </a:graphic>
          </wp:inline>
        </w:drawing>
      </w:r>
    </w:p>
    <w:p w14:paraId="2DD3C58F" w14:textId="2AE5CC52" w:rsidR="0044035D" w:rsidRPr="0044035D" w:rsidRDefault="00015ECC" w:rsidP="0044035D">
      <w:pPr>
        <w:pStyle w:val="Lgende"/>
        <w:tabs>
          <w:tab w:val="left" w:pos="1152"/>
        </w:tabs>
        <w:jc w:val="center"/>
      </w:pPr>
      <w:bookmarkStart w:id="196" w:name="_Toc126096859"/>
      <w:bookmarkStart w:id="197" w:name="_Toc129786597"/>
      <w:r>
        <w:t xml:space="preserve">Figure </w:t>
      </w:r>
      <w:r w:rsidR="00D56558">
        <w:fldChar w:fldCharType="begin"/>
      </w:r>
      <w:r w:rsidR="00D56558">
        <w:instrText xml:space="preserve"> SEQ Figure \* ARABIC </w:instrText>
      </w:r>
      <w:r w:rsidR="00D56558">
        <w:fldChar w:fldCharType="separate"/>
      </w:r>
      <w:r>
        <w:rPr>
          <w:noProof/>
        </w:rPr>
        <w:t>42</w:t>
      </w:r>
      <w:r w:rsidR="00D56558">
        <w:rPr>
          <w:noProof/>
        </w:rPr>
        <w:fldChar w:fldCharType="end"/>
      </w:r>
      <w:r>
        <w:t xml:space="preserve"> : Cartographie des principales surfaces de toitures et de parkings </w:t>
      </w:r>
      <w:r w:rsidR="0044035D">
        <w:br/>
      </w:r>
      <w:r>
        <w:t>pouvant être équipées de photovoltaïque – Saint-Rémy-lès-Chevreuse</w:t>
      </w:r>
      <w:bookmarkEnd w:id="196"/>
      <w:bookmarkEnd w:id="197"/>
      <w:r w:rsidR="0044035D">
        <w:br/>
      </w:r>
    </w:p>
    <w:p w14:paraId="394F1C47" w14:textId="261AAC07" w:rsidR="003C0FF4" w:rsidRDefault="00015ECC" w:rsidP="0044035D">
      <w:pPr>
        <w:keepNext/>
        <w:jc w:val="center"/>
      </w:pPr>
      <w:r w:rsidRPr="000A7A59">
        <w:rPr>
          <w:noProof/>
        </w:rPr>
        <w:drawing>
          <wp:inline distT="0" distB="0" distL="0" distR="0" wp14:anchorId="1CC475AE" wp14:editId="37E36582">
            <wp:extent cx="5433060" cy="3848418"/>
            <wp:effectExtent l="0" t="0" r="0" b="0"/>
            <wp:docPr id="7200" name="Imag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37599" cy="3851633"/>
                    </a:xfrm>
                    <a:prstGeom prst="rect">
                      <a:avLst/>
                    </a:prstGeom>
                  </pic:spPr>
                </pic:pic>
              </a:graphicData>
            </a:graphic>
          </wp:inline>
        </w:drawing>
      </w:r>
      <w:bookmarkStart w:id="198" w:name="_Toc126096860"/>
    </w:p>
    <w:p w14:paraId="01CF43C1" w14:textId="684643E2" w:rsidR="00015ECC" w:rsidRDefault="00015ECC" w:rsidP="0044035D">
      <w:pPr>
        <w:pStyle w:val="Lgende"/>
        <w:jc w:val="center"/>
      </w:pPr>
      <w:bookmarkStart w:id="199" w:name="_Toc129786598"/>
      <w:r>
        <w:t xml:space="preserve">Figure </w:t>
      </w:r>
      <w:r w:rsidR="00D56558">
        <w:fldChar w:fldCharType="begin"/>
      </w:r>
      <w:r w:rsidR="00D56558">
        <w:instrText xml:space="preserve"> SEQ Figure \* ARABIC </w:instrText>
      </w:r>
      <w:r w:rsidR="00D56558">
        <w:fldChar w:fldCharType="separate"/>
      </w:r>
      <w:r>
        <w:rPr>
          <w:noProof/>
        </w:rPr>
        <w:t>43</w:t>
      </w:r>
      <w:r w:rsidR="00D56558">
        <w:rPr>
          <w:noProof/>
        </w:rPr>
        <w:fldChar w:fldCharType="end"/>
      </w:r>
      <w:r>
        <w:t xml:space="preserve"> : Cartographie des principales surfaces de toitures et de parkings </w:t>
      </w:r>
      <w:r w:rsidR="0044035D">
        <w:br/>
      </w:r>
      <w:r>
        <w:t>pouvant être équipées de photovoltaïque – Milon-la-Chapelle</w:t>
      </w:r>
      <w:bookmarkEnd w:id="198"/>
      <w:bookmarkEnd w:id="199"/>
    </w:p>
    <w:p w14:paraId="0766F385" w14:textId="77777777" w:rsidR="00015ECC" w:rsidRDefault="00015ECC" w:rsidP="00015ECC">
      <w:pPr>
        <w:keepNext/>
        <w:jc w:val="center"/>
      </w:pPr>
      <w:r w:rsidRPr="000A7A59">
        <w:rPr>
          <w:noProof/>
        </w:rPr>
        <w:lastRenderedPageBreak/>
        <w:drawing>
          <wp:inline distT="0" distB="0" distL="0" distR="0" wp14:anchorId="29BA0924" wp14:editId="60FD668B">
            <wp:extent cx="5509260" cy="3904822"/>
            <wp:effectExtent l="0" t="0" r="0" b="635"/>
            <wp:docPr id="7201" name="Imag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 name="Image 7201"/>
                    <pic:cNvPicPr/>
                  </pic:nvPicPr>
                  <pic:blipFill>
                    <a:blip r:embed="rId74"/>
                    <a:stretch>
                      <a:fillRect/>
                    </a:stretch>
                  </pic:blipFill>
                  <pic:spPr>
                    <a:xfrm>
                      <a:off x="0" y="0"/>
                      <a:ext cx="5512188" cy="3906897"/>
                    </a:xfrm>
                    <a:prstGeom prst="rect">
                      <a:avLst/>
                    </a:prstGeom>
                  </pic:spPr>
                </pic:pic>
              </a:graphicData>
            </a:graphic>
          </wp:inline>
        </w:drawing>
      </w:r>
    </w:p>
    <w:p w14:paraId="6E1BC5E8" w14:textId="36E9A786" w:rsidR="00015ECC" w:rsidRDefault="00015ECC" w:rsidP="0044035D">
      <w:pPr>
        <w:pStyle w:val="Lgende"/>
        <w:jc w:val="center"/>
      </w:pPr>
      <w:bookmarkStart w:id="200" w:name="_Toc126096861"/>
      <w:bookmarkStart w:id="201" w:name="_Toc129786599"/>
      <w:r>
        <w:t xml:space="preserve">Figure </w:t>
      </w:r>
      <w:r w:rsidR="00D56558">
        <w:fldChar w:fldCharType="begin"/>
      </w:r>
      <w:r w:rsidR="00D56558">
        <w:instrText xml:space="preserve"> SEQ Figure \* ARABIC </w:instrText>
      </w:r>
      <w:r w:rsidR="00D56558">
        <w:fldChar w:fldCharType="separate"/>
      </w:r>
      <w:r>
        <w:rPr>
          <w:noProof/>
        </w:rPr>
        <w:t>44</w:t>
      </w:r>
      <w:r w:rsidR="00D56558">
        <w:rPr>
          <w:noProof/>
        </w:rPr>
        <w:fldChar w:fldCharType="end"/>
      </w:r>
      <w:r>
        <w:t xml:space="preserve"> : Cartographie des principales surfaces de toitures et de parkings </w:t>
      </w:r>
      <w:r w:rsidR="0044035D">
        <w:br/>
      </w:r>
      <w:r>
        <w:t>pouvant être équipées de photovoltaïque – Chevreuse</w:t>
      </w:r>
      <w:bookmarkEnd w:id="200"/>
      <w:bookmarkEnd w:id="201"/>
      <w:r w:rsidR="0044035D">
        <w:br/>
      </w:r>
    </w:p>
    <w:p w14:paraId="3A84488F" w14:textId="77777777" w:rsidR="00015ECC" w:rsidRDefault="00015ECC" w:rsidP="00015ECC">
      <w:pPr>
        <w:keepNext/>
        <w:jc w:val="center"/>
      </w:pPr>
      <w:r w:rsidRPr="000A7A59">
        <w:rPr>
          <w:noProof/>
        </w:rPr>
        <w:drawing>
          <wp:inline distT="0" distB="0" distL="0" distR="0" wp14:anchorId="7453D2BC" wp14:editId="4EC87A3F">
            <wp:extent cx="5379720" cy="3799961"/>
            <wp:effectExtent l="0" t="0" r="0" b="0"/>
            <wp:docPr id="7202" name="Image 720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 name="Image 7202" descr="Une image contenant carte&#10;&#10;Description générée automatiquement"/>
                    <pic:cNvPicPr/>
                  </pic:nvPicPr>
                  <pic:blipFill>
                    <a:blip r:embed="rId75"/>
                    <a:stretch>
                      <a:fillRect/>
                    </a:stretch>
                  </pic:blipFill>
                  <pic:spPr>
                    <a:xfrm>
                      <a:off x="0" y="0"/>
                      <a:ext cx="5382656" cy="3802035"/>
                    </a:xfrm>
                    <a:prstGeom prst="rect">
                      <a:avLst/>
                    </a:prstGeom>
                  </pic:spPr>
                </pic:pic>
              </a:graphicData>
            </a:graphic>
          </wp:inline>
        </w:drawing>
      </w:r>
    </w:p>
    <w:p w14:paraId="5FEE2CE6" w14:textId="3CCCA2CF" w:rsidR="00015ECC" w:rsidRDefault="00015ECC" w:rsidP="0044035D">
      <w:pPr>
        <w:pStyle w:val="Lgende"/>
        <w:jc w:val="center"/>
      </w:pPr>
      <w:bookmarkStart w:id="202" w:name="_Toc126096862"/>
      <w:bookmarkStart w:id="203" w:name="_Toc129786600"/>
      <w:r>
        <w:t xml:space="preserve">Figure </w:t>
      </w:r>
      <w:r w:rsidR="00D56558">
        <w:fldChar w:fldCharType="begin"/>
      </w:r>
      <w:r w:rsidR="00D56558">
        <w:instrText xml:space="preserve"> SEQ Figure \* ARABIC </w:instrText>
      </w:r>
      <w:r w:rsidR="00D56558">
        <w:fldChar w:fldCharType="separate"/>
      </w:r>
      <w:r>
        <w:rPr>
          <w:noProof/>
        </w:rPr>
        <w:t>45</w:t>
      </w:r>
      <w:r w:rsidR="00D56558">
        <w:rPr>
          <w:noProof/>
        </w:rPr>
        <w:fldChar w:fldCharType="end"/>
      </w:r>
      <w:r>
        <w:t xml:space="preserve"> : Cartographie des principales surfaces de toitures et de parkings </w:t>
      </w:r>
      <w:r w:rsidR="0044035D">
        <w:br/>
      </w:r>
      <w:r>
        <w:t>pouvant être équipées de photovoltaïque – Senlisse</w:t>
      </w:r>
      <w:bookmarkEnd w:id="202"/>
      <w:bookmarkEnd w:id="203"/>
    </w:p>
    <w:p w14:paraId="4F3D5AE1" w14:textId="77777777" w:rsidR="00015ECC" w:rsidRDefault="00015ECC" w:rsidP="00015ECC">
      <w:pPr>
        <w:keepNext/>
        <w:jc w:val="center"/>
      </w:pPr>
      <w:r w:rsidRPr="000A7A59">
        <w:rPr>
          <w:noProof/>
        </w:rPr>
        <w:lastRenderedPageBreak/>
        <w:drawing>
          <wp:inline distT="0" distB="0" distL="0" distR="0" wp14:anchorId="7C0697C7" wp14:editId="23F9A5C8">
            <wp:extent cx="5402580" cy="3819682"/>
            <wp:effectExtent l="0" t="0" r="7620" b="9525"/>
            <wp:docPr id="7203" name="Image 720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 name="Image 7203" descr="Une image contenant carte&#10;&#10;Description générée automatiquement"/>
                    <pic:cNvPicPr/>
                  </pic:nvPicPr>
                  <pic:blipFill>
                    <a:blip r:embed="rId76"/>
                    <a:stretch>
                      <a:fillRect/>
                    </a:stretch>
                  </pic:blipFill>
                  <pic:spPr>
                    <a:xfrm>
                      <a:off x="0" y="0"/>
                      <a:ext cx="5412228" cy="3826503"/>
                    </a:xfrm>
                    <a:prstGeom prst="rect">
                      <a:avLst/>
                    </a:prstGeom>
                  </pic:spPr>
                </pic:pic>
              </a:graphicData>
            </a:graphic>
          </wp:inline>
        </w:drawing>
      </w:r>
    </w:p>
    <w:p w14:paraId="7FD45615" w14:textId="2D2691BE" w:rsidR="00015ECC" w:rsidRDefault="00015ECC" w:rsidP="0044035D">
      <w:pPr>
        <w:pStyle w:val="Lgende"/>
        <w:jc w:val="center"/>
      </w:pPr>
      <w:bookmarkStart w:id="204" w:name="_Toc126096863"/>
      <w:bookmarkStart w:id="205" w:name="_Toc129786601"/>
      <w:r>
        <w:t xml:space="preserve">Figure </w:t>
      </w:r>
      <w:r w:rsidR="00D56558">
        <w:fldChar w:fldCharType="begin"/>
      </w:r>
      <w:r w:rsidR="00D56558">
        <w:instrText xml:space="preserve"> SEQ Figure \* ARABIC </w:instrText>
      </w:r>
      <w:r w:rsidR="00D56558">
        <w:fldChar w:fldCharType="separate"/>
      </w:r>
      <w:r>
        <w:rPr>
          <w:noProof/>
        </w:rPr>
        <w:t>46</w:t>
      </w:r>
      <w:r w:rsidR="00D56558">
        <w:rPr>
          <w:noProof/>
        </w:rPr>
        <w:fldChar w:fldCharType="end"/>
      </w:r>
      <w:r>
        <w:t xml:space="preserve"> : Cartographie des principales surfaces de toitures et de parkings </w:t>
      </w:r>
      <w:r w:rsidR="0044035D">
        <w:br/>
      </w:r>
      <w:r>
        <w:t>pouvant être équipées de photovoltaïque – Saint-Lambert</w:t>
      </w:r>
      <w:bookmarkEnd w:id="204"/>
      <w:bookmarkEnd w:id="205"/>
      <w:r w:rsidR="0044035D">
        <w:br/>
      </w:r>
    </w:p>
    <w:p w14:paraId="7BBE6F71" w14:textId="5AB94923" w:rsidR="00015ECC" w:rsidRDefault="00015ECC" w:rsidP="00C05E67">
      <w:pPr>
        <w:pStyle w:val="Lgende"/>
        <w:jc w:val="center"/>
      </w:pPr>
      <w:bookmarkStart w:id="206" w:name="_Toc129786602"/>
      <w:r w:rsidRPr="000A7A59">
        <w:rPr>
          <w:noProof/>
        </w:rPr>
        <w:drawing>
          <wp:anchor distT="0" distB="0" distL="114300" distR="114300" simplePos="0" relativeHeight="251686912" behindDoc="1" locked="0" layoutInCell="1" allowOverlap="1" wp14:anchorId="3B59A021" wp14:editId="58182EC8">
            <wp:simplePos x="0" y="0"/>
            <wp:positionH relativeFrom="margin">
              <wp:align>center</wp:align>
            </wp:positionH>
            <wp:positionV relativeFrom="paragraph">
              <wp:posOffset>0</wp:posOffset>
            </wp:positionV>
            <wp:extent cx="5417820" cy="3817915"/>
            <wp:effectExtent l="0" t="0" r="0" b="0"/>
            <wp:wrapTight wrapText="bothSides">
              <wp:wrapPolygon edited="0">
                <wp:start x="0" y="0"/>
                <wp:lineTo x="0" y="21449"/>
                <wp:lineTo x="21494" y="21449"/>
                <wp:lineTo x="21494" y="0"/>
                <wp:lineTo x="0" y="0"/>
              </wp:wrapPolygon>
            </wp:wrapTight>
            <wp:docPr id="7204" name="Image 720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 name="Image 7204" descr="Une image contenant carte&#10;&#10;Description générée automatique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17820" cy="3817915"/>
                    </a:xfrm>
                    <a:prstGeom prst="rect">
                      <a:avLst/>
                    </a:prstGeom>
                  </pic:spPr>
                </pic:pic>
              </a:graphicData>
            </a:graphic>
          </wp:anchor>
        </w:drawing>
      </w:r>
      <w:r w:rsidR="003C0FF4">
        <w:br w:type="textWrapping" w:clear="all"/>
      </w:r>
      <w:bookmarkStart w:id="207" w:name="_Toc126096864"/>
      <w:r>
        <w:t xml:space="preserve">Figure </w:t>
      </w:r>
      <w:r w:rsidR="00D56558">
        <w:fldChar w:fldCharType="begin"/>
      </w:r>
      <w:r w:rsidR="00D56558">
        <w:instrText xml:space="preserve"> SEQ Figure \* ARABIC </w:instrText>
      </w:r>
      <w:r w:rsidR="00D56558">
        <w:fldChar w:fldCharType="separate"/>
      </w:r>
      <w:r>
        <w:t>47</w:t>
      </w:r>
      <w:r w:rsidR="00D56558">
        <w:fldChar w:fldCharType="end"/>
      </w:r>
      <w:r>
        <w:t xml:space="preserve"> : Cartographie des principales surfaces de toitures et de parkings </w:t>
      </w:r>
      <w:r w:rsidR="0044035D">
        <w:br/>
      </w:r>
      <w:r>
        <w:t>pouvant être équipées de photovoltaïque – Saint-Forget</w:t>
      </w:r>
      <w:bookmarkEnd w:id="207"/>
      <w:bookmarkEnd w:id="206"/>
      <w:r w:rsidR="00C05E67">
        <w:br/>
      </w:r>
    </w:p>
    <w:p w14:paraId="53C63C8F" w14:textId="77777777" w:rsidR="00015ECC" w:rsidRDefault="00015ECC" w:rsidP="00015ECC">
      <w:pPr>
        <w:keepNext/>
        <w:jc w:val="center"/>
      </w:pPr>
      <w:r w:rsidRPr="000A7A59">
        <w:rPr>
          <w:noProof/>
        </w:rPr>
        <w:drawing>
          <wp:inline distT="0" distB="0" distL="0" distR="0" wp14:anchorId="39919232" wp14:editId="20A26574">
            <wp:extent cx="5455920" cy="3868821"/>
            <wp:effectExtent l="0" t="0" r="0" b="0"/>
            <wp:docPr id="7205" name="Image 720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Image 7205" descr="Une image contenant carte&#10;&#10;Description générée automatiquement"/>
                    <pic:cNvPicPr/>
                  </pic:nvPicPr>
                  <pic:blipFill>
                    <a:blip r:embed="rId78"/>
                    <a:stretch>
                      <a:fillRect/>
                    </a:stretch>
                  </pic:blipFill>
                  <pic:spPr>
                    <a:xfrm>
                      <a:off x="0" y="0"/>
                      <a:ext cx="5460921" cy="3872367"/>
                    </a:xfrm>
                    <a:prstGeom prst="rect">
                      <a:avLst/>
                    </a:prstGeom>
                  </pic:spPr>
                </pic:pic>
              </a:graphicData>
            </a:graphic>
          </wp:inline>
        </w:drawing>
      </w:r>
    </w:p>
    <w:p w14:paraId="7202FF16" w14:textId="6A1CC56C" w:rsidR="00015ECC" w:rsidRDefault="00015ECC" w:rsidP="0044035D">
      <w:pPr>
        <w:pStyle w:val="Lgende"/>
        <w:jc w:val="center"/>
      </w:pPr>
      <w:bookmarkStart w:id="208" w:name="_Toc126096865"/>
      <w:bookmarkStart w:id="209" w:name="_Toc129786603"/>
      <w:r>
        <w:t xml:space="preserve">Figure </w:t>
      </w:r>
      <w:r w:rsidR="00D56558">
        <w:fldChar w:fldCharType="begin"/>
      </w:r>
      <w:r w:rsidR="00D56558">
        <w:instrText xml:space="preserve"> SEQ Figure \* ARABIC </w:instrText>
      </w:r>
      <w:r w:rsidR="00D56558">
        <w:fldChar w:fldCharType="separate"/>
      </w:r>
      <w:r>
        <w:rPr>
          <w:noProof/>
        </w:rPr>
        <w:t>48</w:t>
      </w:r>
      <w:r w:rsidR="00D56558">
        <w:rPr>
          <w:noProof/>
        </w:rPr>
        <w:fldChar w:fldCharType="end"/>
      </w:r>
      <w:r>
        <w:t xml:space="preserve"> : Cartographie des principales surfaces de toitures et de parkings </w:t>
      </w:r>
      <w:r w:rsidR="0044035D">
        <w:br/>
      </w:r>
      <w:r>
        <w:t>pouvant être équipées de photovoltaïque – Le Mesnil-Saint-Denis</w:t>
      </w:r>
      <w:bookmarkEnd w:id="208"/>
      <w:bookmarkEnd w:id="209"/>
      <w:r w:rsidR="0044035D">
        <w:br/>
      </w:r>
    </w:p>
    <w:p w14:paraId="7800E97F" w14:textId="77777777" w:rsidR="00015ECC" w:rsidRDefault="00015ECC" w:rsidP="00015ECC">
      <w:pPr>
        <w:keepNext/>
        <w:jc w:val="center"/>
      </w:pPr>
      <w:r w:rsidRPr="000A7A59">
        <w:rPr>
          <w:noProof/>
        </w:rPr>
        <w:drawing>
          <wp:inline distT="0" distB="0" distL="0" distR="0" wp14:anchorId="111ACC17" wp14:editId="4C1443A1">
            <wp:extent cx="5491023" cy="3878580"/>
            <wp:effectExtent l="0" t="0" r="0" b="7620"/>
            <wp:docPr id="7206" name="Image 720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 name="Image 7206" descr="Une image contenant carte&#10;&#10;Description générée automatiquement"/>
                    <pic:cNvPicPr/>
                  </pic:nvPicPr>
                  <pic:blipFill>
                    <a:blip r:embed="rId79"/>
                    <a:stretch>
                      <a:fillRect/>
                    </a:stretch>
                  </pic:blipFill>
                  <pic:spPr>
                    <a:xfrm>
                      <a:off x="0" y="0"/>
                      <a:ext cx="5491752" cy="3879095"/>
                    </a:xfrm>
                    <a:prstGeom prst="rect">
                      <a:avLst/>
                    </a:prstGeom>
                  </pic:spPr>
                </pic:pic>
              </a:graphicData>
            </a:graphic>
          </wp:inline>
        </w:drawing>
      </w:r>
    </w:p>
    <w:p w14:paraId="560AACBD" w14:textId="1137BC5A" w:rsidR="00015ECC" w:rsidRDefault="00015ECC" w:rsidP="0044035D">
      <w:pPr>
        <w:pStyle w:val="Lgende"/>
        <w:jc w:val="center"/>
      </w:pPr>
      <w:bookmarkStart w:id="210" w:name="_Toc126096866"/>
      <w:bookmarkStart w:id="211" w:name="_Toc129786604"/>
      <w:r>
        <w:t xml:space="preserve">Figure </w:t>
      </w:r>
      <w:r w:rsidR="00D56558">
        <w:fldChar w:fldCharType="begin"/>
      </w:r>
      <w:r w:rsidR="00D56558">
        <w:instrText xml:space="preserve"> SEQ Figure \* AR</w:instrText>
      </w:r>
      <w:r w:rsidR="00D56558">
        <w:instrText xml:space="preserve">ABIC </w:instrText>
      </w:r>
      <w:r w:rsidR="00D56558">
        <w:fldChar w:fldCharType="separate"/>
      </w:r>
      <w:r>
        <w:rPr>
          <w:noProof/>
        </w:rPr>
        <w:t>49</w:t>
      </w:r>
      <w:r w:rsidR="00D56558">
        <w:rPr>
          <w:noProof/>
        </w:rPr>
        <w:fldChar w:fldCharType="end"/>
      </w:r>
      <w:r>
        <w:t xml:space="preserve"> : Cartographie des principales surfaces de toitures et de parkings </w:t>
      </w:r>
      <w:r w:rsidR="0044035D">
        <w:br/>
      </w:r>
      <w:r>
        <w:t>pouvant être équipées de photovoltaïque – Lévis-Saint-Nom</w:t>
      </w:r>
      <w:bookmarkEnd w:id="210"/>
      <w:bookmarkEnd w:id="211"/>
      <w:r w:rsidR="00C05E67">
        <w:br/>
      </w:r>
    </w:p>
    <w:p w14:paraId="7291B562" w14:textId="77777777" w:rsidR="00015ECC" w:rsidRDefault="00015ECC" w:rsidP="00015ECC">
      <w:pPr>
        <w:keepNext/>
        <w:jc w:val="center"/>
      </w:pPr>
      <w:r w:rsidRPr="000A7A59">
        <w:rPr>
          <w:noProof/>
        </w:rPr>
        <w:lastRenderedPageBreak/>
        <w:drawing>
          <wp:inline distT="0" distB="0" distL="0" distR="0" wp14:anchorId="407356F2" wp14:editId="23DB6B7D">
            <wp:extent cx="5510020" cy="3893820"/>
            <wp:effectExtent l="0" t="0" r="0" b="0"/>
            <wp:docPr id="7207" name="Image 720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 name="Image 7207" descr="Une image contenant carte&#10;&#10;Description générée automatiquement"/>
                    <pic:cNvPicPr/>
                  </pic:nvPicPr>
                  <pic:blipFill>
                    <a:blip r:embed="rId80"/>
                    <a:stretch>
                      <a:fillRect/>
                    </a:stretch>
                  </pic:blipFill>
                  <pic:spPr>
                    <a:xfrm>
                      <a:off x="0" y="0"/>
                      <a:ext cx="5513292" cy="3896132"/>
                    </a:xfrm>
                    <a:prstGeom prst="rect">
                      <a:avLst/>
                    </a:prstGeom>
                  </pic:spPr>
                </pic:pic>
              </a:graphicData>
            </a:graphic>
          </wp:inline>
        </w:drawing>
      </w:r>
    </w:p>
    <w:p w14:paraId="22677EB8" w14:textId="16E08843" w:rsidR="00015ECC" w:rsidRDefault="00015ECC" w:rsidP="0044035D">
      <w:pPr>
        <w:pStyle w:val="Lgende"/>
        <w:jc w:val="center"/>
      </w:pPr>
      <w:bookmarkStart w:id="212" w:name="_Toc126096867"/>
      <w:bookmarkStart w:id="213" w:name="_Toc129786605"/>
      <w:r>
        <w:t xml:space="preserve">Figure </w:t>
      </w:r>
      <w:r w:rsidR="00D56558">
        <w:fldChar w:fldCharType="begin"/>
      </w:r>
      <w:r w:rsidR="00D56558">
        <w:instrText xml:space="preserve"> SEQ Figure \* ARABIC </w:instrText>
      </w:r>
      <w:r w:rsidR="00D56558">
        <w:fldChar w:fldCharType="separate"/>
      </w:r>
      <w:r>
        <w:rPr>
          <w:noProof/>
        </w:rPr>
        <w:t>50</w:t>
      </w:r>
      <w:r w:rsidR="00D56558">
        <w:rPr>
          <w:noProof/>
        </w:rPr>
        <w:fldChar w:fldCharType="end"/>
      </w:r>
      <w:r>
        <w:t xml:space="preserve"> : Cartographie des principales surfaces de toitures et de parkings </w:t>
      </w:r>
      <w:r w:rsidR="0044035D">
        <w:br/>
      </w:r>
      <w:r>
        <w:t>pouvant être équipées de photovoltaïque – Dampierre-en-Yvelines</w:t>
      </w:r>
      <w:bookmarkEnd w:id="212"/>
      <w:bookmarkEnd w:id="213"/>
      <w:r w:rsidR="0044035D">
        <w:br/>
      </w:r>
    </w:p>
    <w:p w14:paraId="777528B7" w14:textId="77777777" w:rsidR="00015ECC" w:rsidRDefault="00015ECC" w:rsidP="00015ECC">
      <w:pPr>
        <w:keepNext/>
        <w:jc w:val="center"/>
      </w:pPr>
      <w:r w:rsidRPr="00103DCB">
        <w:rPr>
          <w:noProof/>
        </w:rPr>
        <w:drawing>
          <wp:inline distT="0" distB="0" distL="0" distR="0" wp14:anchorId="33B771A1" wp14:editId="1F8EF173">
            <wp:extent cx="5455920" cy="3849575"/>
            <wp:effectExtent l="0" t="0" r="0" b="0"/>
            <wp:docPr id="7208" name="Image 720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 name="Image 7208" descr="Une image contenant carte&#10;&#10;Description générée automatiquement"/>
                    <pic:cNvPicPr/>
                  </pic:nvPicPr>
                  <pic:blipFill>
                    <a:blip r:embed="rId81"/>
                    <a:stretch>
                      <a:fillRect/>
                    </a:stretch>
                  </pic:blipFill>
                  <pic:spPr>
                    <a:xfrm>
                      <a:off x="0" y="0"/>
                      <a:ext cx="5463635" cy="3855018"/>
                    </a:xfrm>
                    <a:prstGeom prst="rect">
                      <a:avLst/>
                    </a:prstGeom>
                  </pic:spPr>
                </pic:pic>
              </a:graphicData>
            </a:graphic>
          </wp:inline>
        </w:drawing>
      </w:r>
    </w:p>
    <w:p w14:paraId="184087E5" w14:textId="064C27CC" w:rsidR="00015ECC" w:rsidRDefault="00015ECC" w:rsidP="0044035D">
      <w:pPr>
        <w:pStyle w:val="Lgende"/>
        <w:jc w:val="center"/>
      </w:pPr>
      <w:bookmarkStart w:id="214" w:name="_Toc126096868"/>
      <w:bookmarkStart w:id="215" w:name="_Toc129786606"/>
      <w:r>
        <w:t xml:space="preserve">Figure </w:t>
      </w:r>
      <w:r w:rsidR="00D56558">
        <w:fldChar w:fldCharType="begin"/>
      </w:r>
      <w:r w:rsidR="00D56558">
        <w:instrText xml:space="preserve"> SEQ Figure \* ARABIC </w:instrText>
      </w:r>
      <w:r w:rsidR="00D56558">
        <w:fldChar w:fldCharType="separate"/>
      </w:r>
      <w:r>
        <w:rPr>
          <w:noProof/>
        </w:rPr>
        <w:t>51</w:t>
      </w:r>
      <w:r w:rsidR="00D56558">
        <w:rPr>
          <w:noProof/>
        </w:rPr>
        <w:fldChar w:fldCharType="end"/>
      </w:r>
      <w:r>
        <w:t xml:space="preserve"> : Cartographie des principales surfaces de toitures et de parkings </w:t>
      </w:r>
      <w:r w:rsidR="0044035D">
        <w:br/>
      </w:r>
      <w:r>
        <w:t>pouvant être équipées de photovoltaïque – Choisel</w:t>
      </w:r>
      <w:bookmarkEnd w:id="214"/>
      <w:bookmarkEnd w:id="215"/>
    </w:p>
    <w:p w14:paraId="329F7E26" w14:textId="77777777" w:rsidR="0044035D" w:rsidRPr="0044035D" w:rsidRDefault="0044035D" w:rsidP="0044035D"/>
    <w:p w14:paraId="7EAA25EB" w14:textId="77777777" w:rsidR="00015ECC" w:rsidRPr="00B16F15" w:rsidRDefault="00015ECC" w:rsidP="00015ECC">
      <w:pPr>
        <w:pStyle w:val="Sous-titre"/>
      </w:pPr>
      <w:r w:rsidRPr="00B16F15">
        <w:lastRenderedPageBreak/>
        <w:t xml:space="preserve">Méthodologie pour évaluer le potentiel solaire thermique </w:t>
      </w:r>
    </w:p>
    <w:p w14:paraId="607D9E62" w14:textId="77777777" w:rsidR="00015ECC" w:rsidRDefault="00015ECC" w:rsidP="00015ECC">
      <w:r w:rsidRPr="00B16F15">
        <w:t>Évaluation du potentiel brut :</w:t>
      </w:r>
    </w:p>
    <w:p w14:paraId="4E31F2BD" w14:textId="77777777" w:rsidR="00015ECC" w:rsidRPr="00B16F15" w:rsidRDefault="00015ECC" w:rsidP="00015ECC"/>
    <w:tbl>
      <w:tblPr>
        <w:tblStyle w:val="Grilledutableau"/>
        <w:tblW w:w="3427" w:type="pct"/>
        <w:jc w:val="center"/>
        <w:tblLook w:val="04A0" w:firstRow="1" w:lastRow="0" w:firstColumn="1" w:lastColumn="0" w:noHBand="0" w:noVBand="1"/>
      </w:tblPr>
      <w:tblGrid>
        <w:gridCol w:w="3514"/>
        <w:gridCol w:w="3474"/>
      </w:tblGrid>
      <w:tr w:rsidR="00015ECC" w:rsidRPr="00B16F15" w14:paraId="1777F9CE" w14:textId="77777777" w:rsidTr="00015ECC">
        <w:trPr>
          <w:trHeight w:val="20"/>
          <w:jc w:val="center"/>
        </w:trPr>
        <w:tc>
          <w:tcPr>
            <w:tcW w:w="2514" w:type="pct"/>
            <w:shd w:val="clear" w:color="auto" w:fill="F0B19C" w:themeFill="accent1" w:themeFillTint="66"/>
            <w:vAlign w:val="center"/>
          </w:tcPr>
          <w:p w14:paraId="6D3A0E08" w14:textId="77777777" w:rsidR="00015ECC" w:rsidRPr="00B16F15" w:rsidRDefault="00015ECC" w:rsidP="006212D0">
            <w:pPr>
              <w:jc w:val="center"/>
              <w:rPr>
                <w:b/>
              </w:rPr>
            </w:pPr>
            <w:r w:rsidRPr="00B16F15">
              <w:rPr>
                <w:b/>
              </w:rPr>
              <w:t xml:space="preserve">Irradiation moyenne annuelle </w:t>
            </w:r>
          </w:p>
        </w:tc>
        <w:tc>
          <w:tcPr>
            <w:tcW w:w="2486" w:type="pct"/>
            <w:shd w:val="clear" w:color="auto" w:fill="auto"/>
            <w:vAlign w:val="center"/>
          </w:tcPr>
          <w:p w14:paraId="67392CC9" w14:textId="77777777" w:rsidR="00015ECC" w:rsidRPr="00B16F15" w:rsidRDefault="00015ECC" w:rsidP="006212D0">
            <w:pPr>
              <w:jc w:val="center"/>
              <w:rPr>
                <w:b/>
              </w:rPr>
            </w:pPr>
            <w:r w:rsidRPr="00B16F15">
              <w:t>1 100 kWh/m²</w:t>
            </w:r>
          </w:p>
        </w:tc>
      </w:tr>
      <w:tr w:rsidR="00015ECC" w:rsidRPr="00D97581" w14:paraId="7DD1915A" w14:textId="77777777" w:rsidTr="00015ECC">
        <w:trPr>
          <w:trHeight w:val="20"/>
          <w:jc w:val="center"/>
        </w:trPr>
        <w:tc>
          <w:tcPr>
            <w:tcW w:w="2514" w:type="pct"/>
            <w:shd w:val="clear" w:color="auto" w:fill="F0B19C" w:themeFill="accent1" w:themeFillTint="66"/>
            <w:vAlign w:val="center"/>
          </w:tcPr>
          <w:p w14:paraId="70B7250E" w14:textId="77777777" w:rsidR="00015ECC" w:rsidRPr="00B16F15" w:rsidRDefault="00015ECC" w:rsidP="006212D0">
            <w:pPr>
              <w:jc w:val="center"/>
            </w:pPr>
            <w:r w:rsidRPr="00B16F15">
              <w:rPr>
                <w:b/>
              </w:rPr>
              <w:t xml:space="preserve">Rendement moyen capteur solaire thermique </w:t>
            </w:r>
          </w:p>
        </w:tc>
        <w:tc>
          <w:tcPr>
            <w:tcW w:w="2486" w:type="pct"/>
            <w:shd w:val="clear" w:color="auto" w:fill="auto"/>
            <w:vAlign w:val="center"/>
          </w:tcPr>
          <w:p w14:paraId="3D158664" w14:textId="77777777" w:rsidR="00015ECC" w:rsidRPr="00B16F15" w:rsidRDefault="00015ECC" w:rsidP="006212D0">
            <w:pPr>
              <w:jc w:val="center"/>
            </w:pPr>
            <w:r w:rsidRPr="00B16F15">
              <w:t>60%</w:t>
            </w:r>
          </w:p>
        </w:tc>
      </w:tr>
    </w:tbl>
    <w:p w14:paraId="6BC22087" w14:textId="77777777" w:rsidR="00015ECC" w:rsidRPr="00D97581" w:rsidRDefault="00015ECC" w:rsidP="00015ECC">
      <w:pPr>
        <w:rPr>
          <w:highlight w:val="yellow"/>
        </w:rPr>
      </w:pPr>
    </w:p>
    <w:p w14:paraId="1166DE8C" w14:textId="77777777" w:rsidR="00015ECC" w:rsidRPr="00B16F15" w:rsidRDefault="00015ECC" w:rsidP="00015ECC">
      <w:r w:rsidRPr="00B16F15">
        <w:t>Évaluation des besoins en eau chaude sanitaire (potentiel net) :</w:t>
      </w:r>
    </w:p>
    <w:p w14:paraId="32744BF2" w14:textId="77777777" w:rsidR="00015ECC" w:rsidRPr="00B16F15" w:rsidRDefault="00015ECC" w:rsidP="008A0F26">
      <w:pPr>
        <w:numPr>
          <w:ilvl w:val="0"/>
          <w:numId w:val="12"/>
        </w:numPr>
        <w:spacing w:before="120" w:line="276" w:lineRule="auto"/>
      </w:pPr>
      <w:r w:rsidRPr="00B16F15">
        <w:t>Des hôpitaux, en fonction du nombre de lits, en considérant 11%</w:t>
      </w:r>
      <w:r w:rsidRPr="00B16F15">
        <w:rPr>
          <w:vertAlign w:val="superscript"/>
        </w:rPr>
        <w:footnoteReference w:id="11"/>
      </w:r>
      <w:r w:rsidRPr="00B16F15">
        <w:t xml:space="preserve"> de la consommation totale due à l’eau chaude sanitaire, avec les hypothèses suivantes :</w:t>
      </w:r>
    </w:p>
    <w:tbl>
      <w:tblPr>
        <w:tblStyle w:val="Grilledutableau"/>
        <w:tblW w:w="3427" w:type="pct"/>
        <w:jc w:val="center"/>
        <w:tblLook w:val="04A0" w:firstRow="1" w:lastRow="0" w:firstColumn="1" w:lastColumn="0" w:noHBand="0" w:noVBand="1"/>
      </w:tblPr>
      <w:tblGrid>
        <w:gridCol w:w="3514"/>
        <w:gridCol w:w="3474"/>
      </w:tblGrid>
      <w:tr w:rsidR="00015ECC" w:rsidRPr="00B16F15" w14:paraId="4DD4FA92" w14:textId="77777777" w:rsidTr="006212D0">
        <w:trPr>
          <w:trHeight w:val="20"/>
          <w:jc w:val="center"/>
        </w:trPr>
        <w:tc>
          <w:tcPr>
            <w:tcW w:w="2514" w:type="pct"/>
            <w:shd w:val="clear" w:color="auto" w:fill="F0B19C" w:themeFill="accent1" w:themeFillTint="66"/>
            <w:vAlign w:val="center"/>
          </w:tcPr>
          <w:p w14:paraId="32924766" w14:textId="77777777" w:rsidR="00015ECC" w:rsidRPr="00B16F15" w:rsidRDefault="00015ECC" w:rsidP="006212D0">
            <w:pPr>
              <w:jc w:val="center"/>
              <w:rPr>
                <w:b/>
              </w:rPr>
            </w:pPr>
            <w:r w:rsidRPr="00B16F15">
              <w:rPr>
                <w:b/>
              </w:rPr>
              <w:t>Capacité d’hébergement</w:t>
            </w:r>
          </w:p>
        </w:tc>
        <w:tc>
          <w:tcPr>
            <w:tcW w:w="2486" w:type="pct"/>
            <w:shd w:val="clear" w:color="auto" w:fill="F0B19C" w:themeFill="accent1" w:themeFillTint="66"/>
            <w:vAlign w:val="center"/>
          </w:tcPr>
          <w:p w14:paraId="30C9EEA5" w14:textId="77777777" w:rsidR="00015ECC" w:rsidRPr="00B16F15" w:rsidRDefault="00015ECC" w:rsidP="006212D0">
            <w:pPr>
              <w:jc w:val="center"/>
              <w:rPr>
                <w:b/>
              </w:rPr>
            </w:pPr>
            <w:r w:rsidRPr="00B16F15">
              <w:rPr>
                <w:b/>
              </w:rPr>
              <w:t>Consommation totale par lit</w:t>
            </w:r>
          </w:p>
        </w:tc>
      </w:tr>
      <w:tr w:rsidR="00015ECC" w:rsidRPr="00B16F15" w14:paraId="1D4F137F" w14:textId="77777777" w:rsidTr="00015ECC">
        <w:trPr>
          <w:trHeight w:val="20"/>
          <w:jc w:val="center"/>
        </w:trPr>
        <w:tc>
          <w:tcPr>
            <w:tcW w:w="2514" w:type="pct"/>
            <w:shd w:val="clear" w:color="auto" w:fill="auto"/>
            <w:vAlign w:val="center"/>
          </w:tcPr>
          <w:p w14:paraId="7E9D8994" w14:textId="77777777" w:rsidR="00015ECC" w:rsidRPr="00B16F15" w:rsidRDefault="00015ECC" w:rsidP="006212D0">
            <w:pPr>
              <w:jc w:val="center"/>
            </w:pPr>
            <w:r w:rsidRPr="00B16F15">
              <w:t>25</w:t>
            </w:r>
          </w:p>
        </w:tc>
        <w:tc>
          <w:tcPr>
            <w:tcW w:w="2486" w:type="pct"/>
            <w:shd w:val="clear" w:color="auto" w:fill="auto"/>
            <w:vAlign w:val="center"/>
          </w:tcPr>
          <w:p w14:paraId="7CB3EB19" w14:textId="77777777" w:rsidR="00015ECC" w:rsidRPr="00B16F15" w:rsidRDefault="00015ECC" w:rsidP="006212D0">
            <w:pPr>
              <w:jc w:val="center"/>
            </w:pPr>
            <w:r w:rsidRPr="00B16F15">
              <w:t>11,6 MWh/an</w:t>
            </w:r>
          </w:p>
        </w:tc>
      </w:tr>
      <w:tr w:rsidR="00015ECC" w:rsidRPr="00B16F15" w14:paraId="2DE627DF" w14:textId="77777777" w:rsidTr="00015ECC">
        <w:trPr>
          <w:trHeight w:val="20"/>
          <w:jc w:val="center"/>
        </w:trPr>
        <w:tc>
          <w:tcPr>
            <w:tcW w:w="2514" w:type="pct"/>
            <w:shd w:val="clear" w:color="auto" w:fill="auto"/>
            <w:vAlign w:val="center"/>
          </w:tcPr>
          <w:p w14:paraId="7DABBAE3" w14:textId="77777777" w:rsidR="00015ECC" w:rsidRPr="00B16F15" w:rsidRDefault="00015ECC" w:rsidP="006212D0">
            <w:pPr>
              <w:jc w:val="center"/>
            </w:pPr>
            <w:r w:rsidRPr="00B16F15">
              <w:t>50</w:t>
            </w:r>
          </w:p>
        </w:tc>
        <w:tc>
          <w:tcPr>
            <w:tcW w:w="2486" w:type="pct"/>
            <w:shd w:val="clear" w:color="auto" w:fill="auto"/>
            <w:vAlign w:val="center"/>
          </w:tcPr>
          <w:p w14:paraId="402D88CE" w14:textId="77777777" w:rsidR="00015ECC" w:rsidRPr="00B16F15" w:rsidRDefault="00015ECC" w:rsidP="006212D0">
            <w:pPr>
              <w:jc w:val="center"/>
            </w:pPr>
            <w:r w:rsidRPr="00B16F15">
              <w:t>11,6 MWh/an</w:t>
            </w:r>
          </w:p>
        </w:tc>
      </w:tr>
      <w:tr w:rsidR="00015ECC" w:rsidRPr="00B16F15" w14:paraId="4C681A85" w14:textId="77777777" w:rsidTr="00015ECC">
        <w:trPr>
          <w:trHeight w:val="20"/>
          <w:jc w:val="center"/>
        </w:trPr>
        <w:tc>
          <w:tcPr>
            <w:tcW w:w="2514" w:type="pct"/>
            <w:shd w:val="clear" w:color="auto" w:fill="auto"/>
            <w:vAlign w:val="center"/>
          </w:tcPr>
          <w:p w14:paraId="7194521A" w14:textId="77777777" w:rsidR="00015ECC" w:rsidRPr="00B16F15" w:rsidRDefault="00015ECC" w:rsidP="006212D0">
            <w:pPr>
              <w:jc w:val="center"/>
            </w:pPr>
            <w:r w:rsidRPr="00B16F15">
              <w:t>75</w:t>
            </w:r>
          </w:p>
        </w:tc>
        <w:tc>
          <w:tcPr>
            <w:tcW w:w="2486" w:type="pct"/>
            <w:shd w:val="clear" w:color="auto" w:fill="auto"/>
            <w:vAlign w:val="center"/>
          </w:tcPr>
          <w:p w14:paraId="621EA335" w14:textId="77777777" w:rsidR="00015ECC" w:rsidRPr="00B16F15" w:rsidRDefault="00015ECC" w:rsidP="006212D0">
            <w:pPr>
              <w:jc w:val="center"/>
            </w:pPr>
            <w:r w:rsidRPr="00B16F15">
              <w:t>10,5 MWh/an</w:t>
            </w:r>
          </w:p>
        </w:tc>
      </w:tr>
      <w:tr w:rsidR="00015ECC" w:rsidRPr="00D97581" w14:paraId="22CE282C" w14:textId="77777777" w:rsidTr="00015ECC">
        <w:trPr>
          <w:trHeight w:val="73"/>
          <w:jc w:val="center"/>
        </w:trPr>
        <w:tc>
          <w:tcPr>
            <w:tcW w:w="2514" w:type="pct"/>
            <w:shd w:val="clear" w:color="auto" w:fill="auto"/>
            <w:vAlign w:val="center"/>
          </w:tcPr>
          <w:p w14:paraId="50CE3A3B" w14:textId="77777777" w:rsidR="00015ECC" w:rsidRPr="00B16F15" w:rsidRDefault="00015ECC" w:rsidP="006212D0">
            <w:pPr>
              <w:jc w:val="center"/>
            </w:pPr>
            <w:r w:rsidRPr="00B16F15">
              <w:t>100</w:t>
            </w:r>
          </w:p>
        </w:tc>
        <w:tc>
          <w:tcPr>
            <w:tcW w:w="2486" w:type="pct"/>
            <w:shd w:val="clear" w:color="auto" w:fill="auto"/>
            <w:vAlign w:val="center"/>
          </w:tcPr>
          <w:p w14:paraId="129CC214" w14:textId="77777777" w:rsidR="00015ECC" w:rsidRPr="00B16F15" w:rsidRDefault="00015ECC" w:rsidP="006212D0">
            <w:pPr>
              <w:jc w:val="center"/>
            </w:pPr>
            <w:r w:rsidRPr="00B16F15">
              <w:t>10,4 MWh/an</w:t>
            </w:r>
          </w:p>
        </w:tc>
      </w:tr>
    </w:tbl>
    <w:p w14:paraId="59E7EE95" w14:textId="77777777" w:rsidR="00015ECC" w:rsidRPr="00B16F15" w:rsidRDefault="00015ECC" w:rsidP="008A0F26">
      <w:pPr>
        <w:numPr>
          <w:ilvl w:val="0"/>
          <w:numId w:val="12"/>
        </w:numPr>
        <w:spacing w:before="120" w:line="276" w:lineRule="auto"/>
      </w:pPr>
      <w:r w:rsidRPr="00B16F15">
        <w:t>Des EHPAD, en fonction du nombre de lits (même hypothèses de consommation que les hôpitaux)</w:t>
      </w:r>
    </w:p>
    <w:p w14:paraId="31B8B8B9" w14:textId="77777777" w:rsidR="00015ECC" w:rsidRPr="00B16F15" w:rsidRDefault="00015ECC" w:rsidP="008A0F26">
      <w:pPr>
        <w:numPr>
          <w:ilvl w:val="0"/>
          <w:numId w:val="12"/>
        </w:numPr>
        <w:spacing w:before="120" w:line="276" w:lineRule="auto"/>
      </w:pPr>
      <w:r w:rsidRPr="00B16F15">
        <w:t xml:space="preserve">Des piscines, en fonction de la surface de bassin et du temps d’ouverture : </w:t>
      </w:r>
    </w:p>
    <w:tbl>
      <w:tblPr>
        <w:tblStyle w:val="Grilledutableau"/>
        <w:tblW w:w="5000" w:type="pct"/>
        <w:tblLook w:val="04A0" w:firstRow="1" w:lastRow="0" w:firstColumn="1" w:lastColumn="0" w:noHBand="0" w:noVBand="1"/>
      </w:tblPr>
      <w:tblGrid>
        <w:gridCol w:w="5098"/>
        <w:gridCol w:w="5098"/>
      </w:tblGrid>
      <w:tr w:rsidR="00015ECC" w:rsidRPr="00B16F15" w14:paraId="65DCF79C" w14:textId="77777777" w:rsidTr="00183574">
        <w:trPr>
          <w:trHeight w:hRule="exact" w:val="512"/>
        </w:trPr>
        <w:tc>
          <w:tcPr>
            <w:tcW w:w="2500" w:type="pct"/>
            <w:shd w:val="clear" w:color="auto" w:fill="F0B19C" w:themeFill="accent1" w:themeFillTint="66"/>
            <w:vAlign w:val="center"/>
          </w:tcPr>
          <w:p w14:paraId="16936EF2" w14:textId="77777777" w:rsidR="00015ECC" w:rsidRPr="00B16F15" w:rsidRDefault="00015ECC" w:rsidP="006212D0">
            <w:pPr>
              <w:jc w:val="center"/>
              <w:rPr>
                <w:b/>
              </w:rPr>
            </w:pPr>
            <w:r w:rsidRPr="00B16F15">
              <w:rPr>
                <w:b/>
              </w:rPr>
              <w:t xml:space="preserve">Ratio de consommation d’énergie d’un bassin de piscine (Base de données </w:t>
            </w:r>
            <w:proofErr w:type="spellStart"/>
            <w:r w:rsidRPr="00B16F15">
              <w:rPr>
                <w:b/>
              </w:rPr>
              <w:t>Akajoule</w:t>
            </w:r>
            <w:proofErr w:type="spellEnd"/>
            <w:r w:rsidRPr="00B16F15">
              <w:rPr>
                <w:b/>
              </w:rPr>
              <w:t>)</w:t>
            </w:r>
          </w:p>
        </w:tc>
        <w:tc>
          <w:tcPr>
            <w:tcW w:w="2500" w:type="pct"/>
            <w:shd w:val="clear" w:color="auto" w:fill="auto"/>
            <w:vAlign w:val="center"/>
          </w:tcPr>
          <w:p w14:paraId="3113F64F" w14:textId="77777777" w:rsidR="00015ECC" w:rsidRPr="00B16F15" w:rsidRDefault="00015ECC" w:rsidP="006212D0">
            <w:pPr>
              <w:jc w:val="center"/>
            </w:pPr>
            <w:r w:rsidRPr="00B16F15">
              <w:t>2,86 kWh/m²/jour</w:t>
            </w:r>
          </w:p>
        </w:tc>
      </w:tr>
    </w:tbl>
    <w:p w14:paraId="6913FD60" w14:textId="77777777" w:rsidR="00015ECC" w:rsidRPr="00B16F15" w:rsidRDefault="00015ECC" w:rsidP="008A0F26">
      <w:pPr>
        <w:numPr>
          <w:ilvl w:val="0"/>
          <w:numId w:val="12"/>
        </w:numPr>
        <w:spacing w:before="120" w:line="276" w:lineRule="auto"/>
      </w:pPr>
      <w:r w:rsidRPr="00B16F15">
        <w:t>Des particuliers, en fonction du nombre de personnes par ménage, d’après la base de données INSEE</w:t>
      </w:r>
    </w:p>
    <w:tbl>
      <w:tblPr>
        <w:tblStyle w:val="Grilledutableau"/>
        <w:tblW w:w="5000" w:type="pct"/>
        <w:tblLook w:val="04A0" w:firstRow="1" w:lastRow="0" w:firstColumn="1" w:lastColumn="0" w:noHBand="0" w:noVBand="1"/>
      </w:tblPr>
      <w:tblGrid>
        <w:gridCol w:w="5092"/>
        <w:gridCol w:w="5104"/>
      </w:tblGrid>
      <w:tr w:rsidR="00015ECC" w:rsidRPr="00B16F15" w14:paraId="54A54473" w14:textId="77777777" w:rsidTr="00183574">
        <w:trPr>
          <w:trHeight w:val="338"/>
        </w:trPr>
        <w:tc>
          <w:tcPr>
            <w:tcW w:w="2497" w:type="pct"/>
            <w:shd w:val="clear" w:color="auto" w:fill="F0B19C" w:themeFill="accent1" w:themeFillTint="66"/>
            <w:vAlign w:val="center"/>
          </w:tcPr>
          <w:p w14:paraId="3EEC46AF" w14:textId="77777777" w:rsidR="00015ECC" w:rsidRPr="00B16F15" w:rsidRDefault="00015ECC" w:rsidP="006212D0">
            <w:pPr>
              <w:rPr>
                <w:b/>
              </w:rPr>
            </w:pPr>
            <w:r w:rsidRPr="00B16F15">
              <w:rPr>
                <w:b/>
              </w:rPr>
              <w:t>Ratio de consommation</w:t>
            </w:r>
          </w:p>
        </w:tc>
        <w:tc>
          <w:tcPr>
            <w:tcW w:w="2503" w:type="pct"/>
            <w:shd w:val="clear" w:color="auto" w:fill="auto"/>
            <w:vAlign w:val="center"/>
          </w:tcPr>
          <w:p w14:paraId="09607641" w14:textId="77777777" w:rsidR="00015ECC" w:rsidRPr="00B16F15" w:rsidRDefault="00015ECC" w:rsidP="006212D0">
            <w:pPr>
              <w:jc w:val="center"/>
            </w:pPr>
            <w:r w:rsidRPr="00B16F15">
              <w:t>36 L/personne/jour</w:t>
            </w:r>
          </w:p>
        </w:tc>
      </w:tr>
    </w:tbl>
    <w:p w14:paraId="633FC964" w14:textId="77777777" w:rsidR="00015ECC" w:rsidRPr="00B16F15" w:rsidRDefault="00015ECC" w:rsidP="008A0F26">
      <w:pPr>
        <w:numPr>
          <w:ilvl w:val="0"/>
          <w:numId w:val="12"/>
        </w:numPr>
        <w:spacing w:before="120" w:line="276" w:lineRule="auto"/>
      </w:pPr>
      <w:r w:rsidRPr="00B16F15">
        <w:t>Des hôtels, en fonction du nombre de chambres, en considérant un taux d’occupation moyen de 47%</w:t>
      </w:r>
      <w:r w:rsidRPr="00B16F15">
        <w:rPr>
          <w:vertAlign w:val="superscript"/>
        </w:rPr>
        <w:footnoteReference w:id="12"/>
      </w:r>
      <w:r w:rsidRPr="00B16F15">
        <w:t>, avec les hypothèses suivantes :</w:t>
      </w:r>
    </w:p>
    <w:tbl>
      <w:tblPr>
        <w:tblStyle w:val="Grilledutableau"/>
        <w:tblW w:w="3427" w:type="pct"/>
        <w:jc w:val="center"/>
        <w:tblLook w:val="04A0" w:firstRow="1" w:lastRow="0" w:firstColumn="1" w:lastColumn="0" w:noHBand="0" w:noVBand="1"/>
      </w:tblPr>
      <w:tblGrid>
        <w:gridCol w:w="3514"/>
        <w:gridCol w:w="3474"/>
      </w:tblGrid>
      <w:tr w:rsidR="00015ECC" w:rsidRPr="00B16F15" w14:paraId="2744AB14" w14:textId="77777777" w:rsidTr="006212D0">
        <w:trPr>
          <w:trHeight w:val="20"/>
          <w:jc w:val="center"/>
        </w:trPr>
        <w:tc>
          <w:tcPr>
            <w:tcW w:w="2514" w:type="pct"/>
            <w:shd w:val="clear" w:color="auto" w:fill="F0B19C" w:themeFill="accent1" w:themeFillTint="66"/>
            <w:vAlign w:val="center"/>
          </w:tcPr>
          <w:p w14:paraId="211DE476" w14:textId="77777777" w:rsidR="00015ECC" w:rsidRPr="00B16F15" w:rsidRDefault="00015ECC" w:rsidP="006212D0">
            <w:pPr>
              <w:jc w:val="center"/>
              <w:rPr>
                <w:b/>
              </w:rPr>
            </w:pPr>
            <w:r w:rsidRPr="00B16F15">
              <w:rPr>
                <w:b/>
              </w:rPr>
              <w:t>Nombre d’étoiles</w:t>
            </w:r>
          </w:p>
        </w:tc>
        <w:tc>
          <w:tcPr>
            <w:tcW w:w="2486" w:type="pct"/>
            <w:shd w:val="clear" w:color="auto" w:fill="F0B19C" w:themeFill="accent1" w:themeFillTint="66"/>
            <w:vAlign w:val="center"/>
          </w:tcPr>
          <w:p w14:paraId="12D24242" w14:textId="77777777" w:rsidR="00015ECC" w:rsidRPr="00B16F15" w:rsidRDefault="00015ECC" w:rsidP="006212D0">
            <w:pPr>
              <w:jc w:val="center"/>
              <w:rPr>
                <w:b/>
              </w:rPr>
            </w:pPr>
            <w:r w:rsidRPr="00B16F15">
              <w:rPr>
                <w:b/>
              </w:rPr>
              <w:t>Consommation d’ECS (L/chambre/nuit)</w:t>
            </w:r>
          </w:p>
        </w:tc>
      </w:tr>
      <w:tr w:rsidR="00015ECC" w:rsidRPr="00B16F15" w14:paraId="66B5D836" w14:textId="77777777" w:rsidTr="00015ECC">
        <w:trPr>
          <w:trHeight w:val="20"/>
          <w:jc w:val="center"/>
        </w:trPr>
        <w:tc>
          <w:tcPr>
            <w:tcW w:w="2514" w:type="pct"/>
            <w:shd w:val="clear" w:color="auto" w:fill="auto"/>
            <w:vAlign w:val="center"/>
          </w:tcPr>
          <w:p w14:paraId="1063F496" w14:textId="77777777" w:rsidR="00015ECC" w:rsidRPr="00B16F15" w:rsidRDefault="00015ECC" w:rsidP="006212D0">
            <w:pPr>
              <w:jc w:val="center"/>
            </w:pPr>
            <w:r w:rsidRPr="00B16F15">
              <w:t>Eco</w:t>
            </w:r>
          </w:p>
        </w:tc>
        <w:tc>
          <w:tcPr>
            <w:tcW w:w="2486" w:type="pct"/>
            <w:shd w:val="clear" w:color="auto" w:fill="auto"/>
            <w:vAlign w:val="center"/>
          </w:tcPr>
          <w:p w14:paraId="65AADB8F" w14:textId="77777777" w:rsidR="00015ECC" w:rsidRPr="00B16F15" w:rsidRDefault="00015ECC" w:rsidP="006212D0">
            <w:pPr>
              <w:jc w:val="center"/>
            </w:pPr>
            <w:r w:rsidRPr="00B16F15">
              <w:t>30</w:t>
            </w:r>
          </w:p>
        </w:tc>
      </w:tr>
      <w:tr w:rsidR="00015ECC" w:rsidRPr="00B16F15" w14:paraId="26B03166" w14:textId="77777777" w:rsidTr="00015ECC">
        <w:trPr>
          <w:trHeight w:val="20"/>
          <w:jc w:val="center"/>
        </w:trPr>
        <w:tc>
          <w:tcPr>
            <w:tcW w:w="2514" w:type="pct"/>
            <w:shd w:val="clear" w:color="auto" w:fill="auto"/>
            <w:vAlign w:val="center"/>
          </w:tcPr>
          <w:p w14:paraId="69347298" w14:textId="77777777" w:rsidR="00015ECC" w:rsidRPr="00B16F15" w:rsidRDefault="00015ECC" w:rsidP="006212D0">
            <w:pPr>
              <w:jc w:val="center"/>
            </w:pPr>
            <w:r w:rsidRPr="00B16F15">
              <w:t>1 &amp; 2</w:t>
            </w:r>
          </w:p>
        </w:tc>
        <w:tc>
          <w:tcPr>
            <w:tcW w:w="2486" w:type="pct"/>
            <w:shd w:val="clear" w:color="auto" w:fill="auto"/>
            <w:vAlign w:val="center"/>
          </w:tcPr>
          <w:p w14:paraId="1C1D2F67" w14:textId="77777777" w:rsidR="00015ECC" w:rsidRPr="00B16F15" w:rsidRDefault="00015ECC" w:rsidP="006212D0">
            <w:pPr>
              <w:jc w:val="center"/>
            </w:pPr>
            <w:r w:rsidRPr="00B16F15">
              <w:t>45</w:t>
            </w:r>
          </w:p>
        </w:tc>
      </w:tr>
      <w:tr w:rsidR="00015ECC" w:rsidRPr="00B16F15" w14:paraId="239564E9" w14:textId="77777777" w:rsidTr="00015ECC">
        <w:trPr>
          <w:trHeight w:val="20"/>
          <w:jc w:val="center"/>
        </w:trPr>
        <w:tc>
          <w:tcPr>
            <w:tcW w:w="2514" w:type="pct"/>
            <w:shd w:val="clear" w:color="auto" w:fill="auto"/>
            <w:vAlign w:val="center"/>
          </w:tcPr>
          <w:p w14:paraId="5063EB9F" w14:textId="77777777" w:rsidR="00015ECC" w:rsidRPr="00B16F15" w:rsidRDefault="00015ECC" w:rsidP="006212D0">
            <w:pPr>
              <w:jc w:val="center"/>
            </w:pPr>
            <w:r w:rsidRPr="00B16F15">
              <w:t>3 &amp; 4</w:t>
            </w:r>
          </w:p>
        </w:tc>
        <w:tc>
          <w:tcPr>
            <w:tcW w:w="2486" w:type="pct"/>
            <w:shd w:val="clear" w:color="auto" w:fill="auto"/>
            <w:vAlign w:val="center"/>
          </w:tcPr>
          <w:p w14:paraId="24531D3D" w14:textId="77777777" w:rsidR="00015ECC" w:rsidRPr="00B16F15" w:rsidRDefault="00015ECC" w:rsidP="006212D0">
            <w:pPr>
              <w:jc w:val="center"/>
            </w:pPr>
            <w:r w:rsidRPr="00B16F15">
              <w:t>60</w:t>
            </w:r>
          </w:p>
        </w:tc>
      </w:tr>
      <w:tr w:rsidR="00015ECC" w:rsidRPr="00D97581" w14:paraId="41EE5257" w14:textId="77777777" w:rsidTr="00015ECC">
        <w:trPr>
          <w:trHeight w:val="73"/>
          <w:jc w:val="center"/>
        </w:trPr>
        <w:tc>
          <w:tcPr>
            <w:tcW w:w="2514" w:type="pct"/>
            <w:shd w:val="clear" w:color="auto" w:fill="auto"/>
            <w:vAlign w:val="center"/>
          </w:tcPr>
          <w:p w14:paraId="354CF784" w14:textId="77777777" w:rsidR="00015ECC" w:rsidRPr="00B16F15" w:rsidRDefault="00015ECC" w:rsidP="006212D0">
            <w:pPr>
              <w:jc w:val="center"/>
            </w:pPr>
            <w:r w:rsidRPr="00B16F15">
              <w:t>5</w:t>
            </w:r>
          </w:p>
        </w:tc>
        <w:tc>
          <w:tcPr>
            <w:tcW w:w="2486" w:type="pct"/>
            <w:shd w:val="clear" w:color="auto" w:fill="auto"/>
            <w:vAlign w:val="center"/>
          </w:tcPr>
          <w:p w14:paraId="64C0579F" w14:textId="77777777" w:rsidR="00015ECC" w:rsidRPr="00B16F15" w:rsidRDefault="00015ECC" w:rsidP="006212D0">
            <w:pPr>
              <w:jc w:val="center"/>
            </w:pPr>
            <w:r w:rsidRPr="00B16F15">
              <w:t>80</w:t>
            </w:r>
          </w:p>
        </w:tc>
      </w:tr>
    </w:tbl>
    <w:p w14:paraId="6ED9BCCD" w14:textId="77777777" w:rsidR="00015ECC" w:rsidRPr="00D97581" w:rsidRDefault="00015ECC" w:rsidP="00015ECC">
      <w:pPr>
        <w:rPr>
          <w:highlight w:val="yellow"/>
        </w:rPr>
      </w:pPr>
    </w:p>
    <w:p w14:paraId="043BB10C" w14:textId="22418D1B" w:rsidR="00015ECC" w:rsidRPr="00B16F15" w:rsidRDefault="00015ECC" w:rsidP="00015ECC">
      <w:r w:rsidRPr="00B16F15">
        <w:t>Il est donc considéré comme potentiel en solaire thermique le total des consommations d’énergie pour produire de l’eau chaude sanitaire, modulé par les hypothèses</w:t>
      </w:r>
      <w:r w:rsidRPr="00B16F15">
        <w:rPr>
          <w:vertAlign w:val="superscript"/>
        </w:rPr>
        <w:footnoteReference w:id="13"/>
      </w:r>
      <w:r w:rsidRPr="00B16F15">
        <w:t xml:space="preserve"> suivantes :</w:t>
      </w:r>
    </w:p>
    <w:tbl>
      <w:tblPr>
        <w:tblStyle w:val="Grilledutableau"/>
        <w:tblW w:w="5000" w:type="pct"/>
        <w:tblLook w:val="04A0" w:firstRow="1" w:lastRow="0" w:firstColumn="1" w:lastColumn="0" w:noHBand="0" w:noVBand="1"/>
      </w:tblPr>
      <w:tblGrid>
        <w:gridCol w:w="3345"/>
        <w:gridCol w:w="3030"/>
        <w:gridCol w:w="3821"/>
      </w:tblGrid>
      <w:tr w:rsidR="00015ECC" w:rsidRPr="00B16F15" w14:paraId="667A5AE9" w14:textId="77777777" w:rsidTr="006212D0">
        <w:tc>
          <w:tcPr>
            <w:tcW w:w="1640" w:type="pct"/>
            <w:shd w:val="clear" w:color="auto" w:fill="C7471D" w:themeFill="accent1"/>
            <w:vAlign w:val="center"/>
          </w:tcPr>
          <w:p w14:paraId="0103C845" w14:textId="77777777" w:rsidR="00015ECC" w:rsidRPr="00B16F15" w:rsidRDefault="00015ECC" w:rsidP="006212D0">
            <w:pPr>
              <w:jc w:val="center"/>
              <w:rPr>
                <w:b/>
                <w:sz w:val="20"/>
              </w:rPr>
            </w:pPr>
            <w:r w:rsidRPr="00B16F15">
              <w:rPr>
                <w:b/>
                <w:sz w:val="20"/>
              </w:rPr>
              <w:lastRenderedPageBreak/>
              <w:t>Type de bâtiment</w:t>
            </w:r>
          </w:p>
        </w:tc>
        <w:tc>
          <w:tcPr>
            <w:tcW w:w="1486" w:type="pct"/>
            <w:shd w:val="clear" w:color="auto" w:fill="F0B19C" w:themeFill="accent1" w:themeFillTint="66"/>
            <w:vAlign w:val="center"/>
          </w:tcPr>
          <w:p w14:paraId="0926A74E" w14:textId="77777777" w:rsidR="00015ECC" w:rsidRPr="00B16F15" w:rsidRDefault="00015ECC" w:rsidP="006212D0">
            <w:pPr>
              <w:jc w:val="center"/>
              <w:rPr>
                <w:b/>
                <w:sz w:val="20"/>
              </w:rPr>
            </w:pPr>
            <w:r w:rsidRPr="00B16F15">
              <w:rPr>
                <w:b/>
                <w:sz w:val="20"/>
              </w:rPr>
              <w:t>Productivité</w:t>
            </w:r>
          </w:p>
        </w:tc>
        <w:tc>
          <w:tcPr>
            <w:tcW w:w="1874" w:type="pct"/>
            <w:shd w:val="clear" w:color="auto" w:fill="F0B19C" w:themeFill="accent1" w:themeFillTint="66"/>
            <w:vAlign w:val="center"/>
          </w:tcPr>
          <w:p w14:paraId="2AED2392" w14:textId="77777777" w:rsidR="00015ECC" w:rsidRPr="00B16F15" w:rsidRDefault="00015ECC" w:rsidP="006212D0">
            <w:pPr>
              <w:jc w:val="center"/>
              <w:rPr>
                <w:b/>
                <w:sz w:val="20"/>
              </w:rPr>
            </w:pPr>
            <w:r w:rsidRPr="00B16F15">
              <w:rPr>
                <w:b/>
                <w:sz w:val="20"/>
              </w:rPr>
              <w:t>Pourcentage de la consommation annuelle d’eau chaude sanitaire couverte par le solaire</w:t>
            </w:r>
          </w:p>
        </w:tc>
      </w:tr>
      <w:tr w:rsidR="00015ECC" w:rsidRPr="00B16F15" w14:paraId="2C0D7E97" w14:textId="77777777" w:rsidTr="00183574">
        <w:tc>
          <w:tcPr>
            <w:tcW w:w="1640" w:type="pct"/>
            <w:shd w:val="clear" w:color="auto" w:fill="FBE0DA" w:themeFill="accent2" w:themeFillTint="33"/>
            <w:vAlign w:val="center"/>
          </w:tcPr>
          <w:p w14:paraId="7EFE8E0C" w14:textId="77777777" w:rsidR="00015ECC" w:rsidRPr="00B16F15" w:rsidRDefault="00015ECC" w:rsidP="006212D0">
            <w:pPr>
              <w:jc w:val="center"/>
              <w:rPr>
                <w:b/>
                <w:sz w:val="20"/>
              </w:rPr>
            </w:pPr>
            <w:r w:rsidRPr="00B16F15">
              <w:rPr>
                <w:b/>
                <w:sz w:val="20"/>
              </w:rPr>
              <w:t>Solaire thermique collectif (piscines, hôpitaux, EHPAD, camping, hôtels, particuliers habitant dans des immeubles)</w:t>
            </w:r>
          </w:p>
        </w:tc>
        <w:tc>
          <w:tcPr>
            <w:tcW w:w="1486" w:type="pct"/>
            <w:shd w:val="clear" w:color="auto" w:fill="auto"/>
            <w:vAlign w:val="center"/>
          </w:tcPr>
          <w:p w14:paraId="069C4C03" w14:textId="77777777" w:rsidR="00015ECC" w:rsidRPr="00B16F15" w:rsidRDefault="00015ECC" w:rsidP="006212D0">
            <w:pPr>
              <w:jc w:val="center"/>
              <w:rPr>
                <w:sz w:val="20"/>
              </w:rPr>
            </w:pPr>
            <w:r w:rsidRPr="00B16F15">
              <w:rPr>
                <w:sz w:val="20"/>
              </w:rPr>
              <w:t>600 kWh/m²</w:t>
            </w:r>
          </w:p>
        </w:tc>
        <w:tc>
          <w:tcPr>
            <w:tcW w:w="1874" w:type="pct"/>
            <w:shd w:val="clear" w:color="auto" w:fill="auto"/>
            <w:vAlign w:val="center"/>
          </w:tcPr>
          <w:p w14:paraId="351CC710" w14:textId="77777777" w:rsidR="00015ECC" w:rsidRPr="00B16F15" w:rsidRDefault="00015ECC" w:rsidP="006212D0">
            <w:pPr>
              <w:jc w:val="center"/>
              <w:rPr>
                <w:sz w:val="20"/>
              </w:rPr>
            </w:pPr>
            <w:r w:rsidRPr="00B16F15">
              <w:rPr>
                <w:sz w:val="20"/>
              </w:rPr>
              <w:t>40 %</w:t>
            </w:r>
          </w:p>
        </w:tc>
      </w:tr>
      <w:tr w:rsidR="00015ECC" w:rsidRPr="00D97581" w14:paraId="2F643FA1" w14:textId="77777777" w:rsidTr="00183574">
        <w:tc>
          <w:tcPr>
            <w:tcW w:w="1640" w:type="pct"/>
            <w:shd w:val="clear" w:color="auto" w:fill="FBE0DA" w:themeFill="accent2" w:themeFillTint="33"/>
            <w:vAlign w:val="center"/>
          </w:tcPr>
          <w:p w14:paraId="1CBE2F2A" w14:textId="77777777" w:rsidR="00015ECC" w:rsidRPr="00B16F15" w:rsidRDefault="00015ECC" w:rsidP="006212D0">
            <w:pPr>
              <w:jc w:val="center"/>
              <w:rPr>
                <w:b/>
                <w:sz w:val="20"/>
              </w:rPr>
            </w:pPr>
            <w:r w:rsidRPr="00B16F15">
              <w:rPr>
                <w:b/>
                <w:sz w:val="20"/>
              </w:rPr>
              <w:t>Solaire thermique individuel (particuliers habitant dans des maisons individuelles)</w:t>
            </w:r>
          </w:p>
        </w:tc>
        <w:tc>
          <w:tcPr>
            <w:tcW w:w="1486" w:type="pct"/>
            <w:shd w:val="clear" w:color="auto" w:fill="auto"/>
            <w:vAlign w:val="center"/>
          </w:tcPr>
          <w:p w14:paraId="47241C99" w14:textId="77777777" w:rsidR="00015ECC" w:rsidRPr="00B16F15" w:rsidRDefault="00015ECC" w:rsidP="006212D0">
            <w:pPr>
              <w:jc w:val="center"/>
              <w:rPr>
                <w:sz w:val="20"/>
              </w:rPr>
            </w:pPr>
            <w:r w:rsidRPr="00B16F15">
              <w:rPr>
                <w:sz w:val="20"/>
              </w:rPr>
              <w:t>300 kWh/m²</w:t>
            </w:r>
          </w:p>
        </w:tc>
        <w:tc>
          <w:tcPr>
            <w:tcW w:w="1874" w:type="pct"/>
            <w:shd w:val="clear" w:color="auto" w:fill="auto"/>
            <w:vAlign w:val="center"/>
          </w:tcPr>
          <w:p w14:paraId="4F69F837" w14:textId="77777777" w:rsidR="00015ECC" w:rsidRPr="00B16F15" w:rsidRDefault="00015ECC" w:rsidP="006212D0">
            <w:pPr>
              <w:jc w:val="center"/>
              <w:rPr>
                <w:sz w:val="20"/>
              </w:rPr>
            </w:pPr>
            <w:r w:rsidRPr="00B16F15">
              <w:rPr>
                <w:sz w:val="20"/>
              </w:rPr>
              <w:t>60 %</w:t>
            </w:r>
          </w:p>
        </w:tc>
      </w:tr>
    </w:tbl>
    <w:p w14:paraId="33E9E1AD" w14:textId="77777777" w:rsidR="00015ECC" w:rsidRDefault="00015ECC" w:rsidP="00015ECC">
      <w:pPr>
        <w:spacing w:after="160" w:line="259" w:lineRule="auto"/>
        <w:jc w:val="left"/>
        <w:rPr>
          <w:b/>
          <w:color w:val="5B9BC8"/>
          <w:sz w:val="26"/>
        </w:rPr>
      </w:pPr>
    </w:p>
    <w:p w14:paraId="2E8369B0" w14:textId="77777777" w:rsidR="00015ECC" w:rsidRPr="00183574" w:rsidRDefault="00015ECC" w:rsidP="00183574">
      <w:pPr>
        <w:rPr>
          <w:rStyle w:val="Rfrencelgre"/>
        </w:rPr>
      </w:pPr>
      <w:r w:rsidRPr="00183574">
        <w:rPr>
          <w:rStyle w:val="Rfrencelgre"/>
        </w:rPr>
        <w:t>Résultats – Solaire thermique</w:t>
      </w:r>
    </w:p>
    <w:p w14:paraId="2A2E5A01" w14:textId="47CF186E" w:rsidR="00015ECC" w:rsidRPr="00C05E67" w:rsidRDefault="00015ECC" w:rsidP="00015ECC">
      <w:r w:rsidRPr="00B16F15">
        <w:t>Le détail du potentiel par commune est le suivant :</w:t>
      </w:r>
    </w:p>
    <w:tbl>
      <w:tblPr>
        <w:tblStyle w:val="AKAtab1"/>
        <w:tblW w:w="9067" w:type="dxa"/>
        <w:tblLook w:val="04A0" w:firstRow="1" w:lastRow="0" w:firstColumn="1" w:lastColumn="0" w:noHBand="0" w:noVBand="1"/>
      </w:tblPr>
      <w:tblGrid>
        <w:gridCol w:w="3539"/>
        <w:gridCol w:w="2268"/>
        <w:gridCol w:w="3260"/>
      </w:tblGrid>
      <w:tr w:rsidR="00015ECC" w:rsidRPr="00D97581" w14:paraId="55AACB59" w14:textId="77777777" w:rsidTr="00183574">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7" w:type="dxa"/>
            <w:gridSpan w:val="3"/>
          </w:tcPr>
          <w:p w14:paraId="4F3F97AE" w14:textId="77777777" w:rsidR="00015ECC" w:rsidRPr="00B16F15" w:rsidRDefault="00015ECC" w:rsidP="006212D0">
            <w:pPr>
              <w:jc w:val="left"/>
              <w:rPr>
                <w:rFonts w:eastAsia="Times New Roman" w:cs="Calibri"/>
                <w:b w:val="0"/>
                <w:bCs/>
                <w:color w:val="000000"/>
              </w:rPr>
            </w:pPr>
            <w:r w:rsidRPr="00B16F15">
              <w:rPr>
                <w:rFonts w:eastAsia="Times New Roman" w:cs="Calibri"/>
                <w:b w:val="0"/>
                <w:bCs/>
                <w:color w:val="FFFFFF" w:themeColor="background1"/>
              </w:rPr>
              <w:t>Filière : Solaire thermique</w:t>
            </w:r>
          </w:p>
        </w:tc>
      </w:tr>
      <w:tr w:rsidR="00015ECC" w:rsidRPr="00D97581" w14:paraId="2B03E08C"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447E6B5" w14:textId="77777777" w:rsidR="00015ECC" w:rsidRPr="00B16F15" w:rsidRDefault="00015ECC" w:rsidP="006212D0">
            <w:pPr>
              <w:jc w:val="center"/>
              <w:rPr>
                <w:rFonts w:eastAsia="Times New Roman" w:cs="Calibri"/>
                <w:b/>
                <w:bCs/>
                <w:color w:val="000000"/>
              </w:rPr>
            </w:pPr>
            <w:r w:rsidRPr="00B16F15">
              <w:rPr>
                <w:rFonts w:eastAsia="Times New Roman" w:cs="Calibri"/>
                <w:b/>
                <w:bCs/>
                <w:color w:val="000000"/>
              </w:rPr>
              <w:t>Commune</w:t>
            </w:r>
          </w:p>
        </w:tc>
        <w:tc>
          <w:tcPr>
            <w:tcW w:w="2268" w:type="dxa"/>
            <w:shd w:val="clear" w:color="auto" w:fill="FBE0DA" w:themeFill="accent2" w:themeFillTint="33"/>
            <w:noWrap/>
          </w:tcPr>
          <w:p w14:paraId="256A6B46"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highlight w:val="yellow"/>
              </w:rPr>
            </w:pPr>
            <w:r w:rsidRPr="00B16F15">
              <w:rPr>
                <w:rFonts w:eastAsia="Times New Roman" w:cs="Calibri"/>
                <w:b/>
                <w:bCs/>
                <w:color w:val="000000"/>
              </w:rPr>
              <w:t>Potentiel brut</w:t>
            </w:r>
          </w:p>
        </w:tc>
        <w:tc>
          <w:tcPr>
            <w:tcW w:w="3260" w:type="dxa"/>
            <w:shd w:val="clear" w:color="auto" w:fill="FBE0DA" w:themeFill="accent2" w:themeFillTint="33"/>
          </w:tcPr>
          <w:p w14:paraId="7EA214C6"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highlight w:val="yellow"/>
              </w:rPr>
            </w:pPr>
            <w:r w:rsidRPr="00B16F15">
              <w:rPr>
                <w:rFonts w:eastAsia="Times New Roman" w:cs="Calibri"/>
                <w:b/>
                <w:bCs/>
                <w:color w:val="000000"/>
              </w:rPr>
              <w:t>Potentiel net</w:t>
            </w:r>
          </w:p>
        </w:tc>
      </w:tr>
      <w:tr w:rsidR="00015ECC" w:rsidRPr="00D97581" w14:paraId="3A065BE8"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4ECA34FF"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Chevreuse</w:t>
            </w:r>
          </w:p>
        </w:tc>
        <w:tc>
          <w:tcPr>
            <w:tcW w:w="2268" w:type="dxa"/>
            <w:noWrap/>
          </w:tcPr>
          <w:p w14:paraId="3E60082F"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cs="Calibri"/>
                <w:color w:val="000000"/>
              </w:rPr>
              <w:t>15 774 MWh</w:t>
            </w:r>
          </w:p>
        </w:tc>
        <w:tc>
          <w:tcPr>
            <w:tcW w:w="3260" w:type="dxa"/>
          </w:tcPr>
          <w:p w14:paraId="0526BBFC"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2 506 MWh</w:t>
            </w:r>
          </w:p>
        </w:tc>
      </w:tr>
      <w:tr w:rsidR="00015ECC" w:rsidRPr="00D97581" w14:paraId="678870C8"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100B750"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Choisel</w:t>
            </w:r>
          </w:p>
        </w:tc>
        <w:tc>
          <w:tcPr>
            <w:tcW w:w="2268" w:type="dxa"/>
            <w:noWrap/>
          </w:tcPr>
          <w:p w14:paraId="33853E59"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cs="Calibri"/>
                <w:color w:val="000000"/>
              </w:rPr>
              <w:t>2 448 MWh</w:t>
            </w:r>
          </w:p>
        </w:tc>
        <w:tc>
          <w:tcPr>
            <w:tcW w:w="3260" w:type="dxa"/>
          </w:tcPr>
          <w:p w14:paraId="19B59E59"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242 MWh</w:t>
            </w:r>
          </w:p>
        </w:tc>
      </w:tr>
      <w:tr w:rsidR="00015ECC" w:rsidRPr="00D97581" w14:paraId="2B448F3C"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785B8830"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Dampierre-en-Yvelines</w:t>
            </w:r>
          </w:p>
        </w:tc>
        <w:tc>
          <w:tcPr>
            <w:tcW w:w="2268" w:type="dxa"/>
            <w:noWrap/>
          </w:tcPr>
          <w:p w14:paraId="6A8489FA"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cs="Calibri"/>
                <w:color w:val="000000"/>
              </w:rPr>
              <w:t>4 256 MWh</w:t>
            </w:r>
          </w:p>
        </w:tc>
        <w:tc>
          <w:tcPr>
            <w:tcW w:w="3260" w:type="dxa"/>
          </w:tcPr>
          <w:p w14:paraId="79AE356D"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440 MWh</w:t>
            </w:r>
          </w:p>
        </w:tc>
      </w:tr>
      <w:tr w:rsidR="00015ECC" w:rsidRPr="00D97581" w14:paraId="6D439DA8"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037B55C"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Lévis-Saint-Nom</w:t>
            </w:r>
          </w:p>
        </w:tc>
        <w:tc>
          <w:tcPr>
            <w:tcW w:w="2268" w:type="dxa"/>
            <w:noWrap/>
          </w:tcPr>
          <w:p w14:paraId="7435459D"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cs="Calibri"/>
                <w:color w:val="000000"/>
              </w:rPr>
              <w:t>5 531 MWh</w:t>
            </w:r>
          </w:p>
        </w:tc>
        <w:tc>
          <w:tcPr>
            <w:tcW w:w="3260" w:type="dxa"/>
          </w:tcPr>
          <w:p w14:paraId="3ABC84E8"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726 MWh</w:t>
            </w:r>
          </w:p>
        </w:tc>
      </w:tr>
      <w:tr w:rsidR="00015ECC" w:rsidRPr="00D97581" w14:paraId="3C6AA1FB"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56042D04"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Le Mesnil-Saint-Denis</w:t>
            </w:r>
          </w:p>
        </w:tc>
        <w:tc>
          <w:tcPr>
            <w:tcW w:w="2268" w:type="dxa"/>
            <w:noWrap/>
          </w:tcPr>
          <w:p w14:paraId="793FDD5F"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cs="Calibri"/>
                <w:color w:val="000000"/>
              </w:rPr>
              <w:t>17 646 MWh</w:t>
            </w:r>
          </w:p>
        </w:tc>
        <w:tc>
          <w:tcPr>
            <w:tcW w:w="3260" w:type="dxa"/>
          </w:tcPr>
          <w:p w14:paraId="221C8D6F"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3 095 MWh</w:t>
            </w:r>
          </w:p>
        </w:tc>
      </w:tr>
      <w:tr w:rsidR="00015ECC" w:rsidRPr="00D97581" w14:paraId="6BBEBD86"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1D4FF09"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Milon-la-Chapelle</w:t>
            </w:r>
          </w:p>
        </w:tc>
        <w:tc>
          <w:tcPr>
            <w:tcW w:w="2268" w:type="dxa"/>
            <w:noWrap/>
          </w:tcPr>
          <w:p w14:paraId="4348E8D7"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cs="Calibri"/>
                <w:color w:val="000000"/>
              </w:rPr>
              <w:t>1 263 MWh</w:t>
            </w:r>
          </w:p>
        </w:tc>
        <w:tc>
          <w:tcPr>
            <w:tcW w:w="3260" w:type="dxa"/>
          </w:tcPr>
          <w:p w14:paraId="5F196183"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115 MWh</w:t>
            </w:r>
          </w:p>
        </w:tc>
      </w:tr>
      <w:tr w:rsidR="00015ECC" w:rsidRPr="00D97581" w14:paraId="07432B61"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F799CD8"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Saint-Forget</w:t>
            </w:r>
          </w:p>
        </w:tc>
        <w:tc>
          <w:tcPr>
            <w:tcW w:w="2268" w:type="dxa"/>
            <w:noWrap/>
          </w:tcPr>
          <w:p w14:paraId="4782B1F5"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cs="Calibri"/>
                <w:color w:val="000000"/>
              </w:rPr>
              <w:t>1 914 MWh</w:t>
            </w:r>
          </w:p>
        </w:tc>
        <w:tc>
          <w:tcPr>
            <w:tcW w:w="3260" w:type="dxa"/>
          </w:tcPr>
          <w:p w14:paraId="7BF1D346"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212 MWh</w:t>
            </w:r>
          </w:p>
        </w:tc>
      </w:tr>
      <w:tr w:rsidR="00015ECC" w:rsidRPr="00D97581" w14:paraId="7EFA6C5D"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36E3E0F6"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Saint-Lambert</w:t>
            </w:r>
          </w:p>
        </w:tc>
        <w:tc>
          <w:tcPr>
            <w:tcW w:w="2268" w:type="dxa"/>
            <w:noWrap/>
          </w:tcPr>
          <w:p w14:paraId="5F3A0419"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cs="Calibri"/>
                <w:color w:val="000000"/>
              </w:rPr>
              <w:t>1 910 MWh</w:t>
            </w:r>
          </w:p>
        </w:tc>
        <w:tc>
          <w:tcPr>
            <w:tcW w:w="3260" w:type="dxa"/>
          </w:tcPr>
          <w:p w14:paraId="4FBC1EE7"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215 MWh</w:t>
            </w:r>
          </w:p>
        </w:tc>
      </w:tr>
      <w:tr w:rsidR="00015ECC" w:rsidRPr="00D97581" w14:paraId="4A7E5EED"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81C33EE"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Saint-Rémy-lès-Chevreuse</w:t>
            </w:r>
          </w:p>
        </w:tc>
        <w:tc>
          <w:tcPr>
            <w:tcW w:w="2268" w:type="dxa"/>
            <w:noWrap/>
          </w:tcPr>
          <w:p w14:paraId="1D010CF3"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cs="Calibri"/>
                <w:color w:val="000000"/>
              </w:rPr>
              <w:t>20 622 MWh</w:t>
            </w:r>
          </w:p>
        </w:tc>
        <w:tc>
          <w:tcPr>
            <w:tcW w:w="3260" w:type="dxa"/>
          </w:tcPr>
          <w:p w14:paraId="4C5A97CD"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3273 MWh</w:t>
            </w:r>
          </w:p>
        </w:tc>
      </w:tr>
      <w:tr w:rsidR="00015ECC" w:rsidRPr="00D97581" w14:paraId="28E81609"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D0C8090"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Senlisse</w:t>
            </w:r>
          </w:p>
        </w:tc>
        <w:tc>
          <w:tcPr>
            <w:tcW w:w="2268" w:type="dxa"/>
            <w:noWrap/>
          </w:tcPr>
          <w:p w14:paraId="13AD05AF"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cs="Calibri"/>
                <w:color w:val="000000"/>
              </w:rPr>
              <w:t>2 378 MWh</w:t>
            </w:r>
          </w:p>
        </w:tc>
        <w:tc>
          <w:tcPr>
            <w:tcW w:w="3260" w:type="dxa"/>
          </w:tcPr>
          <w:p w14:paraId="6FBFB74E"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220 MWh</w:t>
            </w:r>
          </w:p>
        </w:tc>
      </w:tr>
      <w:tr w:rsidR="00015ECC" w:rsidRPr="00D97581" w14:paraId="2752ED76"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AA223EB" w14:textId="77777777" w:rsidR="00015ECC" w:rsidRPr="00D97581" w:rsidRDefault="00015ECC" w:rsidP="006212D0">
            <w:pPr>
              <w:jc w:val="center"/>
              <w:rPr>
                <w:rFonts w:eastAsia="Times New Roman" w:cs="Calibri"/>
                <w:b/>
                <w:bCs/>
                <w:color w:val="000000"/>
                <w:highlight w:val="yellow"/>
              </w:rPr>
            </w:pPr>
            <w:r w:rsidRPr="009C28F4">
              <w:rPr>
                <w:rFonts w:ascii="Arial" w:eastAsia="Times New Roman" w:hAnsi="Arial" w:cs="Arial"/>
                <w:b/>
                <w:bCs/>
                <w:color w:val="000000"/>
                <w:sz w:val="20"/>
                <w:szCs w:val="20"/>
              </w:rPr>
              <w:t>Total général</w:t>
            </w:r>
          </w:p>
        </w:tc>
        <w:tc>
          <w:tcPr>
            <w:tcW w:w="2268" w:type="dxa"/>
            <w:noWrap/>
          </w:tcPr>
          <w:p w14:paraId="6948E79A"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ascii="Arial" w:eastAsia="Times New Roman" w:hAnsi="Arial" w:cs="Arial"/>
                <w:b/>
                <w:bCs/>
                <w:color w:val="000000"/>
                <w:sz w:val="20"/>
                <w:szCs w:val="20"/>
              </w:rPr>
              <w:t>73 700</w:t>
            </w:r>
            <w:r w:rsidRPr="003B2178">
              <w:rPr>
                <w:rFonts w:ascii="Arial" w:eastAsia="Times New Roman" w:hAnsi="Arial" w:cs="Arial"/>
                <w:b/>
                <w:bCs/>
                <w:color w:val="000000"/>
                <w:sz w:val="20"/>
                <w:szCs w:val="20"/>
              </w:rPr>
              <w:t xml:space="preserve"> </w:t>
            </w:r>
            <w:r w:rsidRPr="003B2178">
              <w:rPr>
                <w:rFonts w:cs="Calibri"/>
                <w:b/>
                <w:bCs/>
                <w:color w:val="000000"/>
              </w:rPr>
              <w:t>MWh</w:t>
            </w:r>
          </w:p>
        </w:tc>
        <w:tc>
          <w:tcPr>
            <w:tcW w:w="3260" w:type="dxa"/>
          </w:tcPr>
          <w:p w14:paraId="2CE9FB1A" w14:textId="77777777" w:rsidR="00015ECC" w:rsidRPr="00B16F15"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0"/>
                <w:szCs w:val="20"/>
                <w:highlight w:val="yellow"/>
              </w:rPr>
            </w:pPr>
            <w:r w:rsidRPr="00B16F15">
              <w:rPr>
                <w:rFonts w:cs="Calibri"/>
                <w:b/>
                <w:bCs/>
                <w:color w:val="000000"/>
              </w:rPr>
              <w:t>11 044 MWh</w:t>
            </w:r>
          </w:p>
        </w:tc>
      </w:tr>
    </w:tbl>
    <w:p w14:paraId="336C999D" w14:textId="77777777" w:rsidR="00015ECC" w:rsidRDefault="00015ECC" w:rsidP="00015ECC">
      <w:pPr>
        <w:spacing w:after="160" w:line="259" w:lineRule="auto"/>
        <w:jc w:val="left"/>
        <w:rPr>
          <w:b/>
          <w:color w:val="5B9BC8"/>
          <w:sz w:val="26"/>
          <w:highlight w:val="yellow"/>
        </w:rPr>
      </w:pPr>
    </w:p>
    <w:p w14:paraId="684DFC64" w14:textId="77777777" w:rsidR="00015ECC" w:rsidRPr="00183574" w:rsidRDefault="00015ECC" w:rsidP="00183574">
      <w:pPr>
        <w:rPr>
          <w:rStyle w:val="Rfrencelgre"/>
        </w:rPr>
      </w:pPr>
      <w:r w:rsidRPr="00183574">
        <w:rPr>
          <w:rStyle w:val="Rfrencelgre"/>
        </w:rPr>
        <w:t>Résultats – Géothermie sur aquifères</w:t>
      </w:r>
    </w:p>
    <w:p w14:paraId="159EF63D" w14:textId="0809A3D0" w:rsidR="00015ECC" w:rsidRPr="00183574" w:rsidRDefault="00015ECC" w:rsidP="00015ECC">
      <w:r w:rsidRPr="00B16F15">
        <w:t>Le détail du potentiel par co</w:t>
      </w:r>
      <w:r w:rsidR="00183574">
        <w:t>mmune est le suivant :</w:t>
      </w:r>
    </w:p>
    <w:tbl>
      <w:tblPr>
        <w:tblStyle w:val="AKAtab1"/>
        <w:tblW w:w="9067" w:type="dxa"/>
        <w:tblLook w:val="04A0" w:firstRow="1" w:lastRow="0" w:firstColumn="1" w:lastColumn="0" w:noHBand="0" w:noVBand="1"/>
      </w:tblPr>
      <w:tblGrid>
        <w:gridCol w:w="3539"/>
        <w:gridCol w:w="2268"/>
        <w:gridCol w:w="3260"/>
      </w:tblGrid>
      <w:tr w:rsidR="00015ECC" w:rsidRPr="00D97581" w14:paraId="12905BAE" w14:textId="77777777" w:rsidTr="00183574">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067" w:type="dxa"/>
            <w:gridSpan w:val="3"/>
          </w:tcPr>
          <w:p w14:paraId="0E594A9F" w14:textId="77777777" w:rsidR="00015ECC" w:rsidRPr="00B16F15" w:rsidRDefault="00015ECC" w:rsidP="006212D0">
            <w:pPr>
              <w:jc w:val="left"/>
              <w:rPr>
                <w:rFonts w:eastAsia="Times New Roman" w:cs="Calibri"/>
                <w:b w:val="0"/>
                <w:bCs/>
                <w:color w:val="000000"/>
              </w:rPr>
            </w:pPr>
            <w:r w:rsidRPr="00B16F15">
              <w:rPr>
                <w:rFonts w:eastAsia="Times New Roman" w:cs="Calibri"/>
                <w:b w:val="0"/>
                <w:bCs/>
                <w:color w:val="FFFFFF" w:themeColor="background1"/>
              </w:rPr>
              <w:t>Filière : Solaire thermique</w:t>
            </w:r>
          </w:p>
        </w:tc>
      </w:tr>
      <w:tr w:rsidR="00015ECC" w:rsidRPr="00D97581" w14:paraId="30F97EB6"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4719D23D" w14:textId="77777777" w:rsidR="00015ECC" w:rsidRPr="00B16F15" w:rsidRDefault="00015ECC" w:rsidP="006212D0">
            <w:pPr>
              <w:jc w:val="center"/>
              <w:rPr>
                <w:rFonts w:eastAsia="Times New Roman" w:cs="Calibri"/>
                <w:b/>
                <w:bCs/>
                <w:color w:val="000000"/>
              </w:rPr>
            </w:pPr>
            <w:r w:rsidRPr="00B16F15">
              <w:rPr>
                <w:rFonts w:eastAsia="Times New Roman" w:cs="Calibri"/>
                <w:b/>
                <w:bCs/>
                <w:color w:val="000000"/>
              </w:rPr>
              <w:t>Commune</w:t>
            </w:r>
          </w:p>
        </w:tc>
        <w:tc>
          <w:tcPr>
            <w:tcW w:w="2268" w:type="dxa"/>
            <w:shd w:val="clear" w:color="auto" w:fill="FBE0DA" w:themeFill="accent2" w:themeFillTint="33"/>
            <w:noWrap/>
          </w:tcPr>
          <w:p w14:paraId="44A3588F"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highlight w:val="yellow"/>
              </w:rPr>
            </w:pPr>
            <w:r w:rsidRPr="00B16F15">
              <w:rPr>
                <w:rFonts w:eastAsia="Times New Roman" w:cs="Calibri"/>
                <w:b/>
                <w:bCs/>
                <w:color w:val="000000"/>
              </w:rPr>
              <w:t>Potentiel brut</w:t>
            </w:r>
          </w:p>
        </w:tc>
        <w:tc>
          <w:tcPr>
            <w:tcW w:w="3260" w:type="dxa"/>
            <w:shd w:val="clear" w:color="auto" w:fill="FBE0DA" w:themeFill="accent2" w:themeFillTint="33"/>
          </w:tcPr>
          <w:p w14:paraId="49893D17"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highlight w:val="yellow"/>
              </w:rPr>
            </w:pPr>
            <w:r w:rsidRPr="00B16F15">
              <w:rPr>
                <w:rFonts w:eastAsia="Times New Roman" w:cs="Calibri"/>
                <w:b/>
                <w:bCs/>
                <w:color w:val="000000"/>
              </w:rPr>
              <w:t>Potentiel net</w:t>
            </w:r>
          </w:p>
        </w:tc>
      </w:tr>
      <w:tr w:rsidR="00015ECC" w:rsidRPr="00D97581" w14:paraId="332EF262"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E7EE069"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Chevreuse</w:t>
            </w:r>
          </w:p>
        </w:tc>
        <w:tc>
          <w:tcPr>
            <w:tcW w:w="2268" w:type="dxa"/>
            <w:noWrap/>
          </w:tcPr>
          <w:p w14:paraId="14740340"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32 900 </w:t>
            </w:r>
            <w:r>
              <w:rPr>
                <w:rFonts w:cs="Calibri"/>
                <w:color w:val="000000"/>
              </w:rPr>
              <w:t>MWh</w:t>
            </w:r>
          </w:p>
        </w:tc>
        <w:tc>
          <w:tcPr>
            <w:tcW w:w="3260" w:type="dxa"/>
          </w:tcPr>
          <w:p w14:paraId="41AD5F54"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4 742 </w:t>
            </w:r>
            <w:r>
              <w:rPr>
                <w:rFonts w:cs="Calibri"/>
                <w:color w:val="000000"/>
              </w:rPr>
              <w:t>MWh</w:t>
            </w:r>
          </w:p>
        </w:tc>
      </w:tr>
      <w:tr w:rsidR="00015ECC" w:rsidRPr="00D97581" w14:paraId="1847A946"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B155D6A"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Choisel</w:t>
            </w:r>
          </w:p>
        </w:tc>
        <w:tc>
          <w:tcPr>
            <w:tcW w:w="2268" w:type="dxa"/>
            <w:noWrap/>
          </w:tcPr>
          <w:p w14:paraId="6DAD6DBE"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1 450 </w:t>
            </w:r>
            <w:r>
              <w:rPr>
                <w:rFonts w:cs="Calibri"/>
                <w:color w:val="000000"/>
              </w:rPr>
              <w:t>MWh</w:t>
            </w:r>
          </w:p>
        </w:tc>
        <w:tc>
          <w:tcPr>
            <w:tcW w:w="3260" w:type="dxa"/>
          </w:tcPr>
          <w:p w14:paraId="315801BE"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276 </w:t>
            </w:r>
            <w:r>
              <w:rPr>
                <w:rFonts w:cs="Calibri"/>
                <w:color w:val="000000"/>
              </w:rPr>
              <w:t>MWh</w:t>
            </w:r>
          </w:p>
        </w:tc>
      </w:tr>
      <w:tr w:rsidR="00015ECC" w:rsidRPr="00D97581" w14:paraId="2572C4A7"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0358E57"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Dampierre-en-Yvelines</w:t>
            </w:r>
          </w:p>
        </w:tc>
        <w:tc>
          <w:tcPr>
            <w:tcW w:w="2268" w:type="dxa"/>
            <w:noWrap/>
          </w:tcPr>
          <w:p w14:paraId="71A26403"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6 180 </w:t>
            </w:r>
            <w:r>
              <w:rPr>
                <w:rFonts w:cs="Calibri"/>
                <w:color w:val="000000"/>
              </w:rPr>
              <w:t>MWh</w:t>
            </w:r>
          </w:p>
        </w:tc>
        <w:tc>
          <w:tcPr>
            <w:tcW w:w="3260" w:type="dxa"/>
          </w:tcPr>
          <w:p w14:paraId="7DE3C112"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1 294 </w:t>
            </w:r>
            <w:r>
              <w:rPr>
                <w:rFonts w:cs="Calibri"/>
                <w:color w:val="000000"/>
              </w:rPr>
              <w:t>MWh</w:t>
            </w:r>
          </w:p>
        </w:tc>
      </w:tr>
      <w:tr w:rsidR="00015ECC" w:rsidRPr="00D97581" w14:paraId="39B5287B"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3EEF10E9"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Lévis-Saint-Nom</w:t>
            </w:r>
          </w:p>
        </w:tc>
        <w:tc>
          <w:tcPr>
            <w:tcW w:w="2268" w:type="dxa"/>
            <w:noWrap/>
          </w:tcPr>
          <w:p w14:paraId="7468971A" w14:textId="77777777" w:rsidR="00015ECC" w:rsidRPr="000550FE"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5 530 </w:t>
            </w:r>
            <w:r>
              <w:rPr>
                <w:rFonts w:cs="Calibri"/>
                <w:color w:val="000000"/>
              </w:rPr>
              <w:t>MWh</w:t>
            </w:r>
          </w:p>
        </w:tc>
        <w:tc>
          <w:tcPr>
            <w:tcW w:w="3260" w:type="dxa"/>
          </w:tcPr>
          <w:p w14:paraId="6B79C631" w14:textId="77777777" w:rsidR="00015ECC" w:rsidRPr="000550FE"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1 194 </w:t>
            </w:r>
            <w:r>
              <w:rPr>
                <w:rFonts w:cs="Calibri"/>
                <w:color w:val="000000"/>
              </w:rPr>
              <w:t>MWh</w:t>
            </w:r>
          </w:p>
        </w:tc>
      </w:tr>
      <w:tr w:rsidR="00015ECC" w:rsidRPr="00D97581" w14:paraId="54DDB555"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75DED910"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Le Mesnil-Saint-Denis</w:t>
            </w:r>
          </w:p>
        </w:tc>
        <w:tc>
          <w:tcPr>
            <w:tcW w:w="2268" w:type="dxa"/>
            <w:noWrap/>
          </w:tcPr>
          <w:p w14:paraId="013A279D" w14:textId="77777777" w:rsidR="00015ECC" w:rsidRPr="000550FE"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 xml:space="preserve">44 870 </w:t>
            </w:r>
            <w:r>
              <w:rPr>
                <w:rFonts w:cs="Calibri"/>
                <w:color w:val="000000"/>
              </w:rPr>
              <w:t>MWh</w:t>
            </w:r>
          </w:p>
        </w:tc>
        <w:tc>
          <w:tcPr>
            <w:tcW w:w="3260" w:type="dxa"/>
          </w:tcPr>
          <w:p w14:paraId="2F0E5B9F" w14:textId="77777777" w:rsidR="00015ECC" w:rsidRPr="000550FE"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 xml:space="preserve">6 792 </w:t>
            </w:r>
            <w:r>
              <w:rPr>
                <w:rFonts w:cs="Calibri"/>
                <w:color w:val="000000"/>
              </w:rPr>
              <w:t>MWh</w:t>
            </w:r>
          </w:p>
        </w:tc>
      </w:tr>
      <w:tr w:rsidR="00015ECC" w:rsidRPr="00D97581" w14:paraId="5EF0EFB3"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588269A9"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lastRenderedPageBreak/>
              <w:t>Milon-la-Chapelle</w:t>
            </w:r>
          </w:p>
        </w:tc>
        <w:tc>
          <w:tcPr>
            <w:tcW w:w="2268" w:type="dxa"/>
            <w:noWrap/>
          </w:tcPr>
          <w:p w14:paraId="1E1C7095"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940 </w:t>
            </w:r>
            <w:r>
              <w:rPr>
                <w:rFonts w:cs="Calibri"/>
                <w:color w:val="000000"/>
              </w:rPr>
              <w:t>MWh</w:t>
            </w:r>
          </w:p>
        </w:tc>
        <w:tc>
          <w:tcPr>
            <w:tcW w:w="3260" w:type="dxa"/>
          </w:tcPr>
          <w:p w14:paraId="4417C518"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192 </w:t>
            </w:r>
            <w:r>
              <w:rPr>
                <w:rFonts w:cs="Calibri"/>
                <w:color w:val="000000"/>
              </w:rPr>
              <w:t>MWh</w:t>
            </w:r>
          </w:p>
        </w:tc>
      </w:tr>
      <w:tr w:rsidR="00015ECC" w:rsidRPr="00D97581" w14:paraId="6067CEA9"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5C2898E4"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Saint-Forget</w:t>
            </w:r>
          </w:p>
        </w:tc>
        <w:tc>
          <w:tcPr>
            <w:tcW w:w="2268" w:type="dxa"/>
            <w:noWrap/>
          </w:tcPr>
          <w:p w14:paraId="1C7E4E21"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2 160 </w:t>
            </w:r>
            <w:r>
              <w:rPr>
                <w:rFonts w:cs="Calibri"/>
                <w:color w:val="000000"/>
              </w:rPr>
              <w:t>MWh</w:t>
            </w:r>
          </w:p>
        </w:tc>
        <w:tc>
          <w:tcPr>
            <w:tcW w:w="3260" w:type="dxa"/>
          </w:tcPr>
          <w:p w14:paraId="3487FFA9"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392 </w:t>
            </w:r>
            <w:r>
              <w:rPr>
                <w:rFonts w:cs="Calibri"/>
                <w:color w:val="000000"/>
              </w:rPr>
              <w:t>MWh</w:t>
            </w:r>
          </w:p>
        </w:tc>
      </w:tr>
      <w:tr w:rsidR="00015ECC" w:rsidRPr="00D97581" w14:paraId="542BC8EF"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9700230"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Saint-Lambert</w:t>
            </w:r>
          </w:p>
        </w:tc>
        <w:tc>
          <w:tcPr>
            <w:tcW w:w="2268" w:type="dxa"/>
            <w:noWrap/>
          </w:tcPr>
          <w:p w14:paraId="2910A848"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4 570 </w:t>
            </w:r>
            <w:r>
              <w:rPr>
                <w:rFonts w:cs="Calibri"/>
                <w:color w:val="000000"/>
              </w:rPr>
              <w:t>MWh</w:t>
            </w:r>
          </w:p>
        </w:tc>
        <w:tc>
          <w:tcPr>
            <w:tcW w:w="3260" w:type="dxa"/>
          </w:tcPr>
          <w:p w14:paraId="7F149883" w14:textId="77777777" w:rsidR="00015ECC" w:rsidRPr="000550FE" w:rsidRDefault="00015ECC" w:rsidP="006212D0">
            <w:pPr>
              <w:jc w:val="center"/>
              <w:cnfStyle w:val="000000100000" w:firstRow="0" w:lastRow="0" w:firstColumn="0" w:lastColumn="0" w:oddVBand="0" w:evenVBand="0" w:oddHBand="1" w:evenHBand="0" w:firstRowFirstColumn="0" w:firstRowLastColumn="0" w:lastRowFirstColumn="0" w:lastRowLastColumn="0"/>
              <w:rPr>
                <w:highlight w:val="yellow"/>
              </w:rPr>
            </w:pPr>
            <w:r>
              <w:rPr>
                <w:rFonts w:ascii="Arial" w:hAnsi="Arial" w:cs="Arial"/>
                <w:sz w:val="20"/>
                <w:szCs w:val="20"/>
              </w:rPr>
              <w:t>1 033</w:t>
            </w:r>
            <w:r>
              <w:t xml:space="preserve"> </w:t>
            </w:r>
            <w:r>
              <w:rPr>
                <w:rFonts w:cs="Calibri"/>
                <w:color w:val="000000"/>
              </w:rPr>
              <w:t>MWh</w:t>
            </w:r>
          </w:p>
        </w:tc>
      </w:tr>
      <w:tr w:rsidR="00015ECC" w:rsidRPr="00D97581" w14:paraId="56DD20CF"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EC84FAB"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Saint-Rémy-lès-Chevreuse</w:t>
            </w:r>
          </w:p>
        </w:tc>
        <w:tc>
          <w:tcPr>
            <w:tcW w:w="2268" w:type="dxa"/>
            <w:noWrap/>
          </w:tcPr>
          <w:p w14:paraId="55A51A9A"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57 050 </w:t>
            </w:r>
            <w:r>
              <w:rPr>
                <w:rFonts w:cs="Calibri"/>
                <w:color w:val="000000"/>
              </w:rPr>
              <w:t>MWh</w:t>
            </w:r>
          </w:p>
        </w:tc>
        <w:tc>
          <w:tcPr>
            <w:tcW w:w="3260" w:type="dxa"/>
          </w:tcPr>
          <w:p w14:paraId="39FA6AB9"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10 249 </w:t>
            </w:r>
            <w:r>
              <w:rPr>
                <w:rFonts w:cs="Calibri"/>
                <w:color w:val="000000"/>
              </w:rPr>
              <w:t>MWh</w:t>
            </w:r>
          </w:p>
        </w:tc>
      </w:tr>
      <w:tr w:rsidR="00015ECC" w:rsidRPr="00D97581" w14:paraId="5674262B"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7C408AB9"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Senlisse</w:t>
            </w:r>
          </w:p>
        </w:tc>
        <w:tc>
          <w:tcPr>
            <w:tcW w:w="2268" w:type="dxa"/>
            <w:noWrap/>
          </w:tcPr>
          <w:p w14:paraId="5316E021"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highlight w:val="yellow"/>
              </w:rPr>
            </w:pPr>
            <w:r>
              <w:rPr>
                <w:rFonts w:ascii="Arial" w:hAnsi="Arial" w:cs="Arial"/>
                <w:sz w:val="20"/>
                <w:szCs w:val="20"/>
              </w:rPr>
              <w:t xml:space="preserve">3 950 </w:t>
            </w:r>
            <w:r>
              <w:rPr>
                <w:rFonts w:cs="Calibri"/>
                <w:color w:val="000000"/>
              </w:rPr>
              <w:t>MWh</w:t>
            </w:r>
          </w:p>
        </w:tc>
        <w:tc>
          <w:tcPr>
            <w:tcW w:w="3260" w:type="dxa"/>
          </w:tcPr>
          <w:p w14:paraId="2FA134D2"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ascii="Arial" w:hAnsi="Arial" w:cs="Arial"/>
                <w:sz w:val="20"/>
                <w:szCs w:val="20"/>
              </w:rPr>
              <w:t xml:space="preserve">950 </w:t>
            </w:r>
            <w:r>
              <w:rPr>
                <w:rFonts w:cs="Calibri"/>
                <w:color w:val="000000"/>
              </w:rPr>
              <w:t>MWh</w:t>
            </w:r>
          </w:p>
        </w:tc>
      </w:tr>
      <w:tr w:rsidR="00015ECC" w:rsidRPr="00D97581" w14:paraId="5FC8950B"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40E91D35" w14:textId="77777777" w:rsidR="00015ECC" w:rsidRPr="00D97581" w:rsidRDefault="00015ECC" w:rsidP="006212D0">
            <w:pPr>
              <w:jc w:val="center"/>
              <w:rPr>
                <w:rFonts w:eastAsia="Times New Roman" w:cs="Calibri"/>
                <w:b/>
                <w:bCs/>
                <w:color w:val="000000"/>
                <w:highlight w:val="yellow"/>
              </w:rPr>
            </w:pPr>
            <w:r w:rsidRPr="009C28F4">
              <w:rPr>
                <w:rFonts w:ascii="Arial" w:eastAsia="Times New Roman" w:hAnsi="Arial" w:cs="Arial"/>
                <w:b/>
                <w:bCs/>
                <w:color w:val="000000"/>
                <w:sz w:val="20"/>
                <w:szCs w:val="20"/>
              </w:rPr>
              <w:t>Total général</w:t>
            </w:r>
          </w:p>
        </w:tc>
        <w:tc>
          <w:tcPr>
            <w:tcW w:w="2268" w:type="dxa"/>
            <w:noWrap/>
          </w:tcPr>
          <w:p w14:paraId="4A124F13" w14:textId="77777777" w:rsidR="00015ECC" w:rsidRPr="000550FE"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color w:val="000000"/>
                <w:highlight w:val="yellow"/>
              </w:rPr>
            </w:pPr>
            <w:r w:rsidRPr="000550FE">
              <w:rPr>
                <w:rFonts w:ascii="Arial" w:hAnsi="Arial" w:cs="Arial"/>
                <w:b/>
                <w:bCs/>
                <w:sz w:val="20"/>
                <w:szCs w:val="20"/>
              </w:rPr>
              <w:t xml:space="preserve">159 600 </w:t>
            </w:r>
            <w:r w:rsidRPr="000550FE">
              <w:rPr>
                <w:rFonts w:cs="Calibri"/>
                <w:b/>
                <w:bCs/>
                <w:color w:val="000000"/>
              </w:rPr>
              <w:t>MWh</w:t>
            </w:r>
          </w:p>
        </w:tc>
        <w:tc>
          <w:tcPr>
            <w:tcW w:w="3260" w:type="dxa"/>
          </w:tcPr>
          <w:p w14:paraId="3B70570E" w14:textId="77777777" w:rsidR="00015ECC" w:rsidRPr="000550FE"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0"/>
                <w:szCs w:val="20"/>
                <w:highlight w:val="yellow"/>
              </w:rPr>
            </w:pPr>
            <w:r w:rsidRPr="000550FE">
              <w:rPr>
                <w:rFonts w:ascii="Arial" w:hAnsi="Arial" w:cs="Arial"/>
                <w:b/>
                <w:bCs/>
                <w:sz w:val="20"/>
                <w:szCs w:val="20"/>
              </w:rPr>
              <w:t xml:space="preserve">27 114  </w:t>
            </w:r>
            <w:r w:rsidRPr="000550FE">
              <w:rPr>
                <w:rFonts w:cs="Calibri"/>
                <w:b/>
                <w:bCs/>
                <w:color w:val="000000"/>
              </w:rPr>
              <w:t>MWh</w:t>
            </w:r>
          </w:p>
        </w:tc>
      </w:tr>
    </w:tbl>
    <w:p w14:paraId="0C084093" w14:textId="77777777" w:rsidR="00015ECC" w:rsidRDefault="00015ECC" w:rsidP="00015ECC">
      <w:pPr>
        <w:spacing w:after="160" w:line="259" w:lineRule="auto"/>
        <w:jc w:val="left"/>
        <w:rPr>
          <w:b/>
          <w:color w:val="5B9BC8"/>
          <w:sz w:val="26"/>
        </w:rPr>
      </w:pPr>
    </w:p>
    <w:p w14:paraId="33A1EC7E" w14:textId="77777777" w:rsidR="00015ECC" w:rsidRPr="00183574" w:rsidRDefault="00015ECC" w:rsidP="00183574">
      <w:pPr>
        <w:rPr>
          <w:rStyle w:val="Rfrencelgre"/>
        </w:rPr>
      </w:pPr>
      <w:r w:rsidRPr="00183574">
        <w:rPr>
          <w:rStyle w:val="Rfrencelgre"/>
        </w:rPr>
        <w:t>Résultats – Pompes à chaleur aérothermiques</w:t>
      </w:r>
    </w:p>
    <w:p w14:paraId="544A3987" w14:textId="160C5DA6" w:rsidR="00015ECC" w:rsidRPr="00183574" w:rsidRDefault="00015ECC" w:rsidP="00015ECC">
      <w:r w:rsidRPr="00B16F15">
        <w:t>Le détail du potenti</w:t>
      </w:r>
      <w:r w:rsidR="00183574">
        <w:t>el par commune est le suivant :</w:t>
      </w:r>
    </w:p>
    <w:tbl>
      <w:tblPr>
        <w:tblStyle w:val="AKAtab1"/>
        <w:tblW w:w="6799" w:type="dxa"/>
        <w:tblLook w:val="04A0" w:firstRow="1" w:lastRow="0" w:firstColumn="1" w:lastColumn="0" w:noHBand="0" w:noVBand="1"/>
      </w:tblPr>
      <w:tblGrid>
        <w:gridCol w:w="3539"/>
        <w:gridCol w:w="3260"/>
      </w:tblGrid>
      <w:tr w:rsidR="00015ECC" w:rsidRPr="00D97581" w14:paraId="77CA4544" w14:textId="77777777" w:rsidTr="00183574">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3E8DC310" w14:textId="77777777" w:rsidR="00015ECC" w:rsidRPr="00B16F15" w:rsidRDefault="00015ECC" w:rsidP="006212D0">
            <w:pPr>
              <w:jc w:val="center"/>
              <w:rPr>
                <w:rFonts w:eastAsia="Times New Roman" w:cs="Calibri"/>
                <w:b w:val="0"/>
                <w:bCs/>
                <w:color w:val="000000"/>
              </w:rPr>
            </w:pPr>
            <w:r w:rsidRPr="00B16F15">
              <w:rPr>
                <w:rFonts w:eastAsia="Times New Roman" w:cs="Calibri"/>
                <w:b w:val="0"/>
                <w:bCs/>
                <w:color w:val="000000"/>
              </w:rPr>
              <w:t>Commune</w:t>
            </w:r>
          </w:p>
        </w:tc>
        <w:tc>
          <w:tcPr>
            <w:tcW w:w="3260" w:type="dxa"/>
          </w:tcPr>
          <w:p w14:paraId="5F81208A" w14:textId="77777777" w:rsidR="00015ECC" w:rsidRPr="00D97581" w:rsidRDefault="00015ECC" w:rsidP="006212D0">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highlight w:val="yellow"/>
              </w:rPr>
            </w:pPr>
            <w:r w:rsidRPr="00B16F15">
              <w:rPr>
                <w:rFonts w:eastAsia="Times New Roman" w:cs="Calibri"/>
                <w:b w:val="0"/>
                <w:bCs/>
                <w:color w:val="000000"/>
              </w:rPr>
              <w:t>Potentiel net</w:t>
            </w:r>
          </w:p>
        </w:tc>
      </w:tr>
      <w:tr w:rsidR="00015ECC" w:rsidRPr="00D97581" w14:paraId="4426EA9E"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5D03A90"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Chevreuse</w:t>
            </w:r>
          </w:p>
        </w:tc>
        <w:tc>
          <w:tcPr>
            <w:tcW w:w="3260" w:type="dxa"/>
          </w:tcPr>
          <w:p w14:paraId="40637FB4"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25 632 MWh</w:t>
            </w:r>
          </w:p>
        </w:tc>
      </w:tr>
      <w:tr w:rsidR="00015ECC" w:rsidRPr="00D97581" w14:paraId="52BA9353"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4037B27"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Choisel</w:t>
            </w:r>
          </w:p>
        </w:tc>
        <w:tc>
          <w:tcPr>
            <w:tcW w:w="3260" w:type="dxa"/>
          </w:tcPr>
          <w:p w14:paraId="34985325"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1 255 MWh</w:t>
            </w:r>
          </w:p>
        </w:tc>
      </w:tr>
      <w:tr w:rsidR="00015ECC" w:rsidRPr="00D97581" w14:paraId="66C7AC10"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5AB2ABAC"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Dampierre-en-Yvelines</w:t>
            </w:r>
          </w:p>
        </w:tc>
        <w:tc>
          <w:tcPr>
            <w:tcW w:w="3260" w:type="dxa"/>
          </w:tcPr>
          <w:p w14:paraId="1370BB21"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3 722 MWh</w:t>
            </w:r>
          </w:p>
        </w:tc>
      </w:tr>
      <w:tr w:rsidR="00015ECC" w:rsidRPr="00D97581" w14:paraId="450BC9CC"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520E22B"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Lévis-Saint-Nom</w:t>
            </w:r>
          </w:p>
        </w:tc>
        <w:tc>
          <w:tcPr>
            <w:tcW w:w="3260" w:type="dxa"/>
          </w:tcPr>
          <w:p w14:paraId="299144DE" w14:textId="77777777" w:rsidR="00015ECC" w:rsidRPr="000550FE"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cs="Calibri"/>
                <w:color w:val="000000"/>
              </w:rPr>
              <w:t>6 213 MWh</w:t>
            </w:r>
          </w:p>
        </w:tc>
      </w:tr>
      <w:tr w:rsidR="00015ECC" w:rsidRPr="00D97581" w14:paraId="464CA898"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70496615"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Le Mesnil-Saint-Denis</w:t>
            </w:r>
          </w:p>
        </w:tc>
        <w:tc>
          <w:tcPr>
            <w:tcW w:w="3260" w:type="dxa"/>
          </w:tcPr>
          <w:p w14:paraId="4ADE1EB3" w14:textId="77777777" w:rsidR="00015ECC" w:rsidRPr="000550FE"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cs="Calibri"/>
                <w:color w:val="000000"/>
              </w:rPr>
              <w:t>30 775 MWh</w:t>
            </w:r>
          </w:p>
        </w:tc>
      </w:tr>
      <w:tr w:rsidR="00015ECC" w:rsidRPr="00D97581" w14:paraId="39D664BD"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5ECBAD2"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Milon-la-Chapelle</w:t>
            </w:r>
          </w:p>
        </w:tc>
        <w:tc>
          <w:tcPr>
            <w:tcW w:w="3260" w:type="dxa"/>
          </w:tcPr>
          <w:p w14:paraId="65C7B778"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612 MWh</w:t>
            </w:r>
          </w:p>
        </w:tc>
      </w:tr>
      <w:tr w:rsidR="00015ECC" w:rsidRPr="00D97581" w14:paraId="63796CB7"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70E380F2"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Saint-Forget</w:t>
            </w:r>
          </w:p>
        </w:tc>
        <w:tc>
          <w:tcPr>
            <w:tcW w:w="3260" w:type="dxa"/>
          </w:tcPr>
          <w:p w14:paraId="62D6BF65"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1 627 MWh</w:t>
            </w:r>
          </w:p>
        </w:tc>
      </w:tr>
      <w:tr w:rsidR="00015ECC" w:rsidRPr="00D97581" w14:paraId="7BBD7CF1"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444C9F51"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Saint-Lambert</w:t>
            </w:r>
          </w:p>
        </w:tc>
        <w:tc>
          <w:tcPr>
            <w:tcW w:w="3260" w:type="dxa"/>
          </w:tcPr>
          <w:p w14:paraId="4A88C369" w14:textId="77777777" w:rsidR="00015ECC" w:rsidRPr="000550FE" w:rsidRDefault="00015ECC" w:rsidP="006212D0">
            <w:pPr>
              <w:jc w:val="center"/>
              <w:cnfStyle w:val="000000010000" w:firstRow="0" w:lastRow="0" w:firstColumn="0" w:lastColumn="0" w:oddVBand="0" w:evenVBand="0" w:oddHBand="0" w:evenHBand="1" w:firstRowFirstColumn="0" w:firstRowLastColumn="0" w:lastRowFirstColumn="0" w:lastRowLastColumn="0"/>
              <w:rPr>
                <w:highlight w:val="yellow"/>
              </w:rPr>
            </w:pPr>
            <w:r>
              <w:rPr>
                <w:rFonts w:cs="Calibri"/>
                <w:color w:val="000000"/>
              </w:rPr>
              <w:t>2 794 MWh</w:t>
            </w:r>
          </w:p>
        </w:tc>
      </w:tr>
      <w:tr w:rsidR="00015ECC" w:rsidRPr="00D97581" w14:paraId="203AD796"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2F6F15AC"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Saint-Rémy-lès-Chevreuse</w:t>
            </w:r>
          </w:p>
        </w:tc>
        <w:tc>
          <w:tcPr>
            <w:tcW w:w="3260" w:type="dxa"/>
          </w:tcPr>
          <w:p w14:paraId="539F4585" w14:textId="77777777" w:rsidR="00015ECC" w:rsidRPr="00D97581"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highlight w:val="yellow"/>
              </w:rPr>
            </w:pPr>
            <w:r>
              <w:rPr>
                <w:rFonts w:cs="Calibri"/>
                <w:color w:val="000000"/>
              </w:rPr>
              <w:t>45 190 MWh</w:t>
            </w:r>
          </w:p>
        </w:tc>
      </w:tr>
      <w:tr w:rsidR="00015ECC" w:rsidRPr="00D97581" w14:paraId="07B02521" w14:textId="77777777" w:rsidTr="00183574">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C6D47EC" w14:textId="77777777" w:rsidR="00015ECC" w:rsidRPr="00D97581" w:rsidRDefault="00015ECC" w:rsidP="006212D0">
            <w:pPr>
              <w:jc w:val="center"/>
              <w:rPr>
                <w:rFonts w:eastAsia="Times New Roman" w:cs="Calibri"/>
                <w:b/>
                <w:bCs/>
                <w:color w:val="000000"/>
                <w:highlight w:val="yellow"/>
              </w:rPr>
            </w:pPr>
            <w:r w:rsidRPr="009C28F4">
              <w:rPr>
                <w:rFonts w:eastAsia="Times New Roman" w:cs="Calibri"/>
                <w:color w:val="000000"/>
              </w:rPr>
              <w:t>Senlisse</w:t>
            </w:r>
          </w:p>
        </w:tc>
        <w:tc>
          <w:tcPr>
            <w:tcW w:w="3260" w:type="dxa"/>
          </w:tcPr>
          <w:p w14:paraId="576CE593" w14:textId="77777777" w:rsidR="00015ECC" w:rsidRPr="00D97581" w:rsidRDefault="00015ECC" w:rsidP="006212D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highlight w:val="yellow"/>
              </w:rPr>
            </w:pPr>
            <w:r>
              <w:rPr>
                <w:rFonts w:cs="Calibri"/>
                <w:color w:val="000000"/>
              </w:rPr>
              <w:t>1 715 MWh</w:t>
            </w:r>
          </w:p>
        </w:tc>
      </w:tr>
      <w:tr w:rsidR="00015ECC" w:rsidRPr="00D97581" w14:paraId="3B16F9E9" w14:textId="77777777" w:rsidTr="0018357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B8D059C" w14:textId="77777777" w:rsidR="00015ECC" w:rsidRPr="00D97581" w:rsidRDefault="00015ECC" w:rsidP="006212D0">
            <w:pPr>
              <w:jc w:val="center"/>
              <w:rPr>
                <w:rFonts w:eastAsia="Times New Roman" w:cs="Calibri"/>
                <w:b/>
                <w:bCs/>
                <w:color w:val="000000"/>
                <w:highlight w:val="yellow"/>
              </w:rPr>
            </w:pPr>
            <w:r w:rsidRPr="009C28F4">
              <w:rPr>
                <w:rFonts w:ascii="Arial" w:eastAsia="Times New Roman" w:hAnsi="Arial" w:cs="Arial"/>
                <w:b/>
                <w:bCs/>
                <w:color w:val="000000"/>
                <w:sz w:val="20"/>
                <w:szCs w:val="20"/>
              </w:rPr>
              <w:t>Total général</w:t>
            </w:r>
          </w:p>
        </w:tc>
        <w:tc>
          <w:tcPr>
            <w:tcW w:w="3260" w:type="dxa"/>
          </w:tcPr>
          <w:p w14:paraId="3C1CE200" w14:textId="77777777" w:rsidR="00015ECC" w:rsidRPr="000550FE" w:rsidRDefault="00015ECC" w:rsidP="006212D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highlight w:val="yellow"/>
              </w:rPr>
            </w:pPr>
            <w:r>
              <w:rPr>
                <w:rFonts w:cs="Calibri"/>
                <w:color w:val="000000"/>
              </w:rPr>
              <w:t>119 536 MWh</w:t>
            </w:r>
          </w:p>
        </w:tc>
      </w:tr>
    </w:tbl>
    <w:p w14:paraId="7B7E264C" w14:textId="77777777" w:rsidR="00015ECC" w:rsidRPr="00D97581" w:rsidRDefault="00015ECC" w:rsidP="00015ECC">
      <w:pPr>
        <w:spacing w:after="160" w:line="259" w:lineRule="auto"/>
        <w:jc w:val="left"/>
        <w:rPr>
          <w:b/>
          <w:color w:val="5B9BC8"/>
          <w:sz w:val="26"/>
          <w:highlight w:val="yellow"/>
        </w:rPr>
      </w:pPr>
    </w:p>
    <w:p w14:paraId="31903CD4" w14:textId="77777777" w:rsidR="00015ECC" w:rsidRPr="006C32AB" w:rsidRDefault="00015ECC" w:rsidP="00183574">
      <w:pPr>
        <w:pStyle w:val="Sous-titre"/>
      </w:pPr>
      <w:r w:rsidRPr="001B6DD9">
        <w:t>Méthodologie pour évaluer le potentiel en bois</w:t>
      </w:r>
      <w:r w:rsidRPr="006C32AB">
        <w:t xml:space="preserve"> </w:t>
      </w:r>
    </w:p>
    <w:p w14:paraId="4176C6DB" w14:textId="57BEA056" w:rsidR="00015ECC" w:rsidRPr="006C32AB" w:rsidRDefault="00015ECC" w:rsidP="00015ECC">
      <w:r w:rsidRPr="006C32AB">
        <w:t xml:space="preserve">Il est pris l’hypothèse que les forêts du territoire d’étude suivent un taux d’accroissement de </w:t>
      </w:r>
      <w:r w:rsidRPr="006C32AB">
        <w:br/>
        <w:t>4 m</w:t>
      </w:r>
      <w:r w:rsidRPr="006C32AB">
        <w:rPr>
          <w:vertAlign w:val="superscript"/>
        </w:rPr>
        <w:t>3</w:t>
      </w:r>
      <w:r w:rsidRPr="006C32AB">
        <w:t>/ha/an</w:t>
      </w:r>
      <w:r w:rsidRPr="006C32AB">
        <w:rPr>
          <w:vertAlign w:val="superscript"/>
        </w:rPr>
        <w:footnoteReference w:id="14"/>
      </w:r>
      <w:r w:rsidRPr="006C32AB">
        <w:t>.  Les surfaces boisées sont issues de la bas</w:t>
      </w:r>
      <w:r w:rsidR="00183574">
        <w:t>e de données Corine Land Cover.</w:t>
      </w:r>
    </w:p>
    <w:p w14:paraId="04B79641" w14:textId="77777777" w:rsidR="00015ECC" w:rsidRPr="006C32AB" w:rsidRDefault="00015ECC" w:rsidP="00015ECC">
      <w:r w:rsidRPr="006C32AB">
        <w:t xml:space="preserve">Afin d’estimer la quantité d’énergie selon le type de bois, il a également été pris l’hypothèse suivante : </w:t>
      </w:r>
    </w:p>
    <w:p w14:paraId="120BF529" w14:textId="77777777" w:rsidR="00015ECC" w:rsidRPr="006C32AB" w:rsidRDefault="00015ECC" w:rsidP="00015ECC"/>
    <w:tbl>
      <w:tblPr>
        <w:tblStyle w:val="Grilledutableau"/>
        <w:tblW w:w="0" w:type="auto"/>
        <w:jc w:val="center"/>
        <w:tblLook w:val="04A0" w:firstRow="1" w:lastRow="0" w:firstColumn="1" w:lastColumn="0" w:noHBand="0" w:noVBand="1"/>
      </w:tblPr>
      <w:tblGrid>
        <w:gridCol w:w="4526"/>
        <w:gridCol w:w="4536"/>
      </w:tblGrid>
      <w:tr w:rsidR="00015ECC" w:rsidRPr="006C32AB" w14:paraId="324D3FA0" w14:textId="77777777" w:rsidTr="00183574">
        <w:trPr>
          <w:jc w:val="center"/>
        </w:trPr>
        <w:tc>
          <w:tcPr>
            <w:tcW w:w="4526" w:type="dxa"/>
            <w:shd w:val="clear" w:color="auto" w:fill="F3A492" w:themeFill="accent2" w:themeFillTint="99"/>
          </w:tcPr>
          <w:p w14:paraId="6FC8EC8D" w14:textId="77777777" w:rsidR="00015ECC" w:rsidRPr="006C32AB" w:rsidRDefault="00015ECC" w:rsidP="006212D0">
            <w:pPr>
              <w:rPr>
                <w:b/>
              </w:rPr>
            </w:pPr>
            <w:r w:rsidRPr="006C32AB">
              <w:rPr>
                <w:b/>
              </w:rPr>
              <w:t>PCI feuillus</w:t>
            </w:r>
          </w:p>
        </w:tc>
        <w:tc>
          <w:tcPr>
            <w:tcW w:w="4536" w:type="dxa"/>
            <w:shd w:val="clear" w:color="auto" w:fill="auto"/>
          </w:tcPr>
          <w:p w14:paraId="0A27C214" w14:textId="77777777" w:rsidR="00015ECC" w:rsidRPr="006C32AB" w:rsidRDefault="00015ECC" w:rsidP="006212D0">
            <w:pPr>
              <w:rPr>
                <w:b/>
              </w:rPr>
            </w:pPr>
            <w:r w:rsidRPr="006C32AB">
              <w:rPr>
                <w:b/>
              </w:rPr>
              <w:t>2,43 MWh/m</w:t>
            </w:r>
            <w:r w:rsidRPr="006C32AB">
              <w:rPr>
                <w:b/>
                <w:vertAlign w:val="superscript"/>
              </w:rPr>
              <w:t>3</w:t>
            </w:r>
            <w:r w:rsidRPr="006C32AB">
              <w:rPr>
                <w:b/>
              </w:rPr>
              <w:t xml:space="preserve"> </w:t>
            </w:r>
          </w:p>
        </w:tc>
      </w:tr>
      <w:tr w:rsidR="00015ECC" w:rsidRPr="006C32AB" w14:paraId="245C7E69" w14:textId="77777777" w:rsidTr="00183574">
        <w:trPr>
          <w:jc w:val="center"/>
        </w:trPr>
        <w:tc>
          <w:tcPr>
            <w:tcW w:w="4526" w:type="dxa"/>
            <w:shd w:val="clear" w:color="auto" w:fill="F3A492" w:themeFill="accent2" w:themeFillTint="99"/>
          </w:tcPr>
          <w:p w14:paraId="588EA61B" w14:textId="77777777" w:rsidR="00015ECC" w:rsidRPr="006C32AB" w:rsidRDefault="00015ECC" w:rsidP="006212D0">
            <w:pPr>
              <w:rPr>
                <w:b/>
              </w:rPr>
            </w:pPr>
            <w:r w:rsidRPr="006C32AB">
              <w:rPr>
                <w:b/>
              </w:rPr>
              <w:t>PCI résineux</w:t>
            </w:r>
          </w:p>
        </w:tc>
        <w:tc>
          <w:tcPr>
            <w:tcW w:w="4536" w:type="dxa"/>
            <w:shd w:val="clear" w:color="auto" w:fill="auto"/>
          </w:tcPr>
          <w:p w14:paraId="7387307F" w14:textId="77777777" w:rsidR="00015ECC" w:rsidRPr="006C32AB" w:rsidRDefault="00015ECC" w:rsidP="006212D0">
            <w:pPr>
              <w:rPr>
                <w:b/>
                <w:vertAlign w:val="superscript"/>
              </w:rPr>
            </w:pPr>
            <w:r w:rsidRPr="006C32AB">
              <w:rPr>
                <w:b/>
              </w:rPr>
              <w:t>2,13 MWh/m</w:t>
            </w:r>
            <w:r w:rsidRPr="006C32AB">
              <w:rPr>
                <w:b/>
                <w:vertAlign w:val="superscript"/>
              </w:rPr>
              <w:t>3</w:t>
            </w:r>
          </w:p>
        </w:tc>
      </w:tr>
    </w:tbl>
    <w:p w14:paraId="0B6A48CE" w14:textId="77777777" w:rsidR="00015ECC" w:rsidRDefault="00015ECC" w:rsidP="00015ECC">
      <w:pPr>
        <w:jc w:val="left"/>
        <w:rPr>
          <w:highlight w:val="yellow"/>
        </w:rPr>
      </w:pPr>
    </w:p>
    <w:p w14:paraId="51A64D63" w14:textId="6EE902B5" w:rsidR="00EA1E3D" w:rsidRPr="001B6DD9" w:rsidRDefault="00015ECC" w:rsidP="00015ECC">
      <w:pPr>
        <w:jc w:val="left"/>
      </w:pPr>
      <w:r w:rsidRPr="001B6DD9">
        <w:t>Le potentiel brut et net disponible pour chaque commune du territoire est le suivant :</w:t>
      </w:r>
    </w:p>
    <w:tbl>
      <w:tblPr>
        <w:tblStyle w:val="AKAtabtotal"/>
        <w:tblW w:w="8217" w:type="dxa"/>
        <w:tblLook w:val="04A0" w:firstRow="1" w:lastRow="0" w:firstColumn="1" w:lastColumn="0" w:noHBand="0" w:noVBand="1"/>
      </w:tblPr>
      <w:tblGrid>
        <w:gridCol w:w="3539"/>
        <w:gridCol w:w="2268"/>
        <w:gridCol w:w="2410"/>
      </w:tblGrid>
      <w:tr w:rsidR="00015ECC" w:rsidRPr="001B6DD9" w14:paraId="39D46CF8" w14:textId="77777777" w:rsidTr="00183574">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8217" w:type="dxa"/>
            <w:gridSpan w:val="3"/>
          </w:tcPr>
          <w:p w14:paraId="7B81B39C" w14:textId="77777777" w:rsidR="00015ECC" w:rsidRPr="001B6DD9" w:rsidRDefault="00015ECC" w:rsidP="006212D0">
            <w:pPr>
              <w:jc w:val="left"/>
              <w:rPr>
                <w:rFonts w:eastAsia="Times New Roman" w:cs="Calibri"/>
                <w:b w:val="0"/>
                <w:bCs/>
                <w:color w:val="000000"/>
              </w:rPr>
            </w:pPr>
            <w:r w:rsidRPr="001B6DD9">
              <w:rPr>
                <w:rFonts w:eastAsia="Times New Roman" w:cs="Calibri"/>
                <w:b w:val="0"/>
                <w:bCs/>
                <w:color w:val="FFFFFF" w:themeColor="background1"/>
              </w:rPr>
              <w:lastRenderedPageBreak/>
              <w:t>Filière : Chaleur à partir de biomasse (bois-énergie)</w:t>
            </w:r>
          </w:p>
        </w:tc>
      </w:tr>
      <w:tr w:rsidR="00015ECC" w:rsidRPr="00D97581" w14:paraId="7E8DC1DD"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shd w:val="clear" w:color="auto" w:fill="F3A492" w:themeFill="accent2" w:themeFillTint="99"/>
          </w:tcPr>
          <w:p w14:paraId="25654554" w14:textId="77777777" w:rsidR="00015ECC" w:rsidRPr="001B6DD9" w:rsidRDefault="00015ECC" w:rsidP="006212D0">
            <w:pPr>
              <w:jc w:val="center"/>
              <w:rPr>
                <w:rFonts w:eastAsia="Times New Roman" w:cs="Calibri"/>
                <w:color w:val="000000"/>
              </w:rPr>
            </w:pPr>
            <w:r w:rsidRPr="001B6DD9">
              <w:rPr>
                <w:rFonts w:eastAsia="Times New Roman" w:cs="Calibri"/>
                <w:color w:val="000000"/>
              </w:rPr>
              <w:t>Commune</w:t>
            </w:r>
          </w:p>
        </w:tc>
        <w:tc>
          <w:tcPr>
            <w:tcW w:w="2268" w:type="dxa"/>
            <w:shd w:val="clear" w:color="auto" w:fill="F3A492" w:themeFill="accent2" w:themeFillTint="99"/>
            <w:noWrap/>
          </w:tcPr>
          <w:p w14:paraId="39217C2F" w14:textId="77777777" w:rsidR="00015ECC" w:rsidRPr="001B6DD9" w:rsidRDefault="00015ECC" w:rsidP="006212D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sidRPr="001B6DD9">
              <w:rPr>
                <w:rFonts w:eastAsia="Times New Roman" w:cs="Calibri"/>
                <w:b/>
                <w:bCs/>
                <w:color w:val="000000"/>
              </w:rPr>
              <w:t>Potentiel brut</w:t>
            </w:r>
          </w:p>
        </w:tc>
        <w:tc>
          <w:tcPr>
            <w:tcW w:w="2410" w:type="dxa"/>
            <w:shd w:val="clear" w:color="auto" w:fill="F3A492" w:themeFill="accent2" w:themeFillTint="99"/>
          </w:tcPr>
          <w:p w14:paraId="54A5FAA7" w14:textId="77777777" w:rsidR="00015ECC" w:rsidRPr="001B6DD9" w:rsidRDefault="00015ECC" w:rsidP="006212D0">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sidRPr="001B6DD9">
              <w:rPr>
                <w:rFonts w:eastAsia="Times New Roman" w:cs="Calibri"/>
                <w:b/>
                <w:bCs/>
                <w:color w:val="000000"/>
              </w:rPr>
              <w:t>Potentiel net disponible</w:t>
            </w:r>
          </w:p>
        </w:tc>
      </w:tr>
      <w:tr w:rsidR="00015ECC" w:rsidRPr="00D97581" w14:paraId="7328395D"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F533C64" w14:textId="77777777" w:rsidR="00015ECC" w:rsidRPr="00D97581" w:rsidRDefault="00015ECC" w:rsidP="006212D0">
            <w:pPr>
              <w:jc w:val="center"/>
              <w:rPr>
                <w:rFonts w:eastAsia="Times New Roman" w:cs="Calibri"/>
                <w:b/>
                <w:bCs/>
                <w:color w:val="000000"/>
                <w:highlight w:val="yellow"/>
              </w:rPr>
            </w:pPr>
            <w:r>
              <w:rPr>
                <w:rFonts w:cs="Calibri"/>
                <w:color w:val="000000"/>
              </w:rPr>
              <w:t>Chevreuse</w:t>
            </w:r>
          </w:p>
        </w:tc>
        <w:tc>
          <w:tcPr>
            <w:tcW w:w="2268" w:type="dxa"/>
            <w:noWrap/>
          </w:tcPr>
          <w:p w14:paraId="57407A9B"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7 470 MWh</w:t>
            </w:r>
          </w:p>
        </w:tc>
        <w:tc>
          <w:tcPr>
            <w:tcW w:w="2410" w:type="dxa"/>
          </w:tcPr>
          <w:p w14:paraId="5FAC6193"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5 645 MWh</w:t>
            </w:r>
          </w:p>
        </w:tc>
      </w:tr>
      <w:tr w:rsidR="00015ECC" w:rsidRPr="00D97581" w14:paraId="5E707CE4"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692D9361" w14:textId="77777777" w:rsidR="00015ECC" w:rsidRPr="00D97581" w:rsidRDefault="00015ECC" w:rsidP="006212D0">
            <w:pPr>
              <w:jc w:val="center"/>
              <w:rPr>
                <w:rFonts w:eastAsia="Times New Roman" w:cs="Calibri"/>
                <w:b/>
                <w:bCs/>
                <w:color w:val="000000"/>
                <w:highlight w:val="yellow"/>
              </w:rPr>
            </w:pPr>
            <w:r>
              <w:rPr>
                <w:rFonts w:cs="Calibri"/>
                <w:color w:val="000000"/>
              </w:rPr>
              <w:t>Choisel</w:t>
            </w:r>
          </w:p>
        </w:tc>
        <w:tc>
          <w:tcPr>
            <w:tcW w:w="2268" w:type="dxa"/>
            <w:noWrap/>
          </w:tcPr>
          <w:p w14:paraId="147BCDFA"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2 936 MWh</w:t>
            </w:r>
          </w:p>
        </w:tc>
        <w:tc>
          <w:tcPr>
            <w:tcW w:w="2410" w:type="dxa"/>
          </w:tcPr>
          <w:p w14:paraId="6C99AC36"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2 209 MWh</w:t>
            </w:r>
          </w:p>
        </w:tc>
      </w:tr>
      <w:tr w:rsidR="00015ECC" w:rsidRPr="00D97581" w14:paraId="30015C6F"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C74189D" w14:textId="77777777" w:rsidR="00015ECC" w:rsidRPr="00D97581" w:rsidRDefault="00015ECC" w:rsidP="006212D0">
            <w:pPr>
              <w:jc w:val="center"/>
              <w:rPr>
                <w:rFonts w:eastAsia="Times New Roman" w:cs="Calibri"/>
                <w:b/>
                <w:bCs/>
                <w:color w:val="000000"/>
                <w:highlight w:val="yellow"/>
              </w:rPr>
            </w:pPr>
            <w:r>
              <w:rPr>
                <w:rFonts w:cs="Calibri"/>
                <w:color w:val="000000"/>
              </w:rPr>
              <w:t>Dampierre-en-Yvelines</w:t>
            </w:r>
          </w:p>
        </w:tc>
        <w:tc>
          <w:tcPr>
            <w:tcW w:w="2268" w:type="dxa"/>
            <w:noWrap/>
          </w:tcPr>
          <w:p w14:paraId="2CE0F416"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7 275 MWh</w:t>
            </w:r>
          </w:p>
        </w:tc>
        <w:tc>
          <w:tcPr>
            <w:tcW w:w="2410" w:type="dxa"/>
          </w:tcPr>
          <w:p w14:paraId="4D00BA8C"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5 402 MWh</w:t>
            </w:r>
          </w:p>
        </w:tc>
      </w:tr>
      <w:tr w:rsidR="00015ECC" w:rsidRPr="00D97581" w14:paraId="4D97EA48"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3F43E46B" w14:textId="77777777" w:rsidR="00015ECC" w:rsidRPr="00D97581" w:rsidRDefault="00015ECC" w:rsidP="006212D0">
            <w:pPr>
              <w:jc w:val="center"/>
              <w:rPr>
                <w:rFonts w:eastAsia="Times New Roman" w:cs="Calibri"/>
                <w:b/>
                <w:bCs/>
                <w:color w:val="000000"/>
                <w:highlight w:val="yellow"/>
              </w:rPr>
            </w:pPr>
            <w:r>
              <w:rPr>
                <w:rFonts w:cs="Calibri"/>
                <w:color w:val="000000"/>
              </w:rPr>
              <w:t>Le Mesnil-Saint-Denis</w:t>
            </w:r>
          </w:p>
        </w:tc>
        <w:tc>
          <w:tcPr>
            <w:tcW w:w="2268" w:type="dxa"/>
            <w:noWrap/>
          </w:tcPr>
          <w:p w14:paraId="2A9EAB66"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1 562 MWh</w:t>
            </w:r>
          </w:p>
        </w:tc>
        <w:tc>
          <w:tcPr>
            <w:tcW w:w="2410" w:type="dxa"/>
          </w:tcPr>
          <w:p w14:paraId="24222952"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1 315 MWh</w:t>
            </w:r>
          </w:p>
        </w:tc>
      </w:tr>
      <w:tr w:rsidR="00015ECC" w:rsidRPr="00D97581" w14:paraId="251768B3"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5803AE89" w14:textId="77777777" w:rsidR="00015ECC" w:rsidRPr="00D97581" w:rsidRDefault="00015ECC" w:rsidP="006212D0">
            <w:pPr>
              <w:jc w:val="center"/>
              <w:rPr>
                <w:rFonts w:eastAsia="Times New Roman" w:cs="Calibri"/>
                <w:b/>
                <w:bCs/>
                <w:color w:val="000000"/>
                <w:highlight w:val="yellow"/>
              </w:rPr>
            </w:pPr>
            <w:r>
              <w:rPr>
                <w:rFonts w:cs="Calibri"/>
                <w:color w:val="000000"/>
              </w:rPr>
              <w:t>Lévis-Saint-Nom</w:t>
            </w:r>
          </w:p>
        </w:tc>
        <w:tc>
          <w:tcPr>
            <w:tcW w:w="2268" w:type="dxa"/>
            <w:noWrap/>
          </w:tcPr>
          <w:p w14:paraId="204BAA91"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4 036 MWh</w:t>
            </w:r>
          </w:p>
        </w:tc>
        <w:tc>
          <w:tcPr>
            <w:tcW w:w="2410" w:type="dxa"/>
          </w:tcPr>
          <w:p w14:paraId="11DB4CA1"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3 029 MWh</w:t>
            </w:r>
          </w:p>
        </w:tc>
      </w:tr>
      <w:tr w:rsidR="00015ECC" w:rsidRPr="00D97581" w14:paraId="75F17D8E"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0E1854F3" w14:textId="77777777" w:rsidR="00015ECC" w:rsidRPr="00D97581" w:rsidRDefault="00015ECC" w:rsidP="006212D0">
            <w:pPr>
              <w:jc w:val="center"/>
              <w:rPr>
                <w:rFonts w:eastAsia="Times New Roman" w:cs="Calibri"/>
                <w:b/>
                <w:bCs/>
                <w:color w:val="000000"/>
                <w:highlight w:val="yellow"/>
              </w:rPr>
            </w:pPr>
            <w:r>
              <w:rPr>
                <w:rFonts w:cs="Calibri"/>
                <w:color w:val="000000"/>
              </w:rPr>
              <w:t>Milon-la-Chapelle</w:t>
            </w:r>
          </w:p>
        </w:tc>
        <w:tc>
          <w:tcPr>
            <w:tcW w:w="2268" w:type="dxa"/>
            <w:noWrap/>
          </w:tcPr>
          <w:p w14:paraId="567FB169"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2 187 MWh</w:t>
            </w:r>
          </w:p>
        </w:tc>
        <w:tc>
          <w:tcPr>
            <w:tcW w:w="2410" w:type="dxa"/>
          </w:tcPr>
          <w:p w14:paraId="7BC5FFC1"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1 630 MWh</w:t>
            </w:r>
          </w:p>
        </w:tc>
      </w:tr>
      <w:tr w:rsidR="00015ECC" w:rsidRPr="00D97581" w14:paraId="17CB8EAC" w14:textId="77777777" w:rsidTr="00183574">
        <w:trPr>
          <w:trHeight w:val="436"/>
        </w:trPr>
        <w:tc>
          <w:tcPr>
            <w:cnfStyle w:val="001000000000" w:firstRow="0" w:lastRow="0" w:firstColumn="1" w:lastColumn="0" w:oddVBand="0" w:evenVBand="0" w:oddHBand="0" w:evenHBand="0" w:firstRowFirstColumn="0" w:firstRowLastColumn="0" w:lastRowFirstColumn="0" w:lastRowLastColumn="0"/>
            <w:tcW w:w="3539" w:type="dxa"/>
          </w:tcPr>
          <w:p w14:paraId="4C6AA6E6" w14:textId="77777777" w:rsidR="00015ECC" w:rsidRPr="00D97581" w:rsidRDefault="00015ECC" w:rsidP="006212D0">
            <w:pPr>
              <w:jc w:val="center"/>
              <w:rPr>
                <w:rFonts w:eastAsia="Times New Roman" w:cs="Calibri"/>
                <w:b/>
                <w:bCs/>
                <w:color w:val="000000"/>
                <w:highlight w:val="yellow"/>
              </w:rPr>
            </w:pPr>
            <w:r>
              <w:rPr>
                <w:rFonts w:cs="Calibri"/>
                <w:color w:val="000000"/>
              </w:rPr>
              <w:t>Saint-Forget</w:t>
            </w:r>
          </w:p>
        </w:tc>
        <w:tc>
          <w:tcPr>
            <w:tcW w:w="2268" w:type="dxa"/>
            <w:noWrap/>
          </w:tcPr>
          <w:p w14:paraId="32919834"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3 550 MWh</w:t>
            </w:r>
          </w:p>
        </w:tc>
        <w:tc>
          <w:tcPr>
            <w:tcW w:w="2410" w:type="dxa"/>
          </w:tcPr>
          <w:p w14:paraId="1688C3C8"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2 625 MWh</w:t>
            </w:r>
          </w:p>
        </w:tc>
      </w:tr>
      <w:tr w:rsidR="00015ECC" w:rsidRPr="00D97581" w14:paraId="11417A28"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772D2D1B" w14:textId="77777777" w:rsidR="00015ECC" w:rsidRPr="00D97581" w:rsidRDefault="00015ECC" w:rsidP="006212D0">
            <w:pPr>
              <w:jc w:val="center"/>
              <w:rPr>
                <w:rFonts w:eastAsia="Times New Roman" w:cs="Calibri"/>
                <w:b/>
                <w:bCs/>
                <w:color w:val="000000"/>
                <w:highlight w:val="yellow"/>
              </w:rPr>
            </w:pPr>
            <w:r>
              <w:rPr>
                <w:rFonts w:cs="Calibri"/>
                <w:color w:val="000000"/>
              </w:rPr>
              <w:t>Saint-Lambert</w:t>
            </w:r>
          </w:p>
        </w:tc>
        <w:tc>
          <w:tcPr>
            <w:tcW w:w="2268" w:type="dxa"/>
            <w:noWrap/>
          </w:tcPr>
          <w:p w14:paraId="1B284FBC"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4 099 MWh</w:t>
            </w:r>
          </w:p>
        </w:tc>
        <w:tc>
          <w:tcPr>
            <w:tcW w:w="2410" w:type="dxa"/>
          </w:tcPr>
          <w:p w14:paraId="74879A90"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3 033 MWh</w:t>
            </w:r>
          </w:p>
        </w:tc>
      </w:tr>
      <w:tr w:rsidR="00015ECC" w:rsidRPr="00D97581" w14:paraId="47600CFC"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17F7FD1E" w14:textId="77777777" w:rsidR="00015ECC" w:rsidRPr="00D97581" w:rsidRDefault="00015ECC" w:rsidP="006212D0">
            <w:pPr>
              <w:jc w:val="center"/>
              <w:rPr>
                <w:rFonts w:eastAsia="Times New Roman" w:cs="Calibri"/>
                <w:b/>
                <w:bCs/>
                <w:color w:val="000000"/>
                <w:highlight w:val="yellow"/>
              </w:rPr>
            </w:pPr>
            <w:r>
              <w:rPr>
                <w:rFonts w:cs="Calibri"/>
                <w:color w:val="000000"/>
              </w:rPr>
              <w:t>Saint-Rémy-lès-Chevreuse</w:t>
            </w:r>
          </w:p>
        </w:tc>
        <w:tc>
          <w:tcPr>
            <w:tcW w:w="2268" w:type="dxa"/>
            <w:noWrap/>
          </w:tcPr>
          <w:p w14:paraId="1FB61E4C"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5 215 MWh</w:t>
            </w:r>
          </w:p>
        </w:tc>
        <w:tc>
          <w:tcPr>
            <w:tcW w:w="2410" w:type="dxa"/>
          </w:tcPr>
          <w:p w14:paraId="28B51E81"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4 018 MWh</w:t>
            </w:r>
          </w:p>
        </w:tc>
      </w:tr>
      <w:tr w:rsidR="00015ECC" w:rsidRPr="00D97581" w14:paraId="33E2FAA5" w14:textId="77777777" w:rsidTr="00183574">
        <w:trPr>
          <w:trHeight w:val="258"/>
        </w:trPr>
        <w:tc>
          <w:tcPr>
            <w:cnfStyle w:val="001000000000" w:firstRow="0" w:lastRow="0" w:firstColumn="1" w:lastColumn="0" w:oddVBand="0" w:evenVBand="0" w:oddHBand="0" w:evenHBand="0" w:firstRowFirstColumn="0" w:firstRowLastColumn="0" w:lastRowFirstColumn="0" w:lastRowLastColumn="0"/>
            <w:tcW w:w="3539" w:type="dxa"/>
          </w:tcPr>
          <w:p w14:paraId="4ADEFC62" w14:textId="77777777" w:rsidR="00015ECC" w:rsidRPr="00D97581" w:rsidRDefault="00015ECC" w:rsidP="006212D0">
            <w:pPr>
              <w:jc w:val="center"/>
              <w:rPr>
                <w:rFonts w:eastAsia="Times New Roman" w:cs="Calibri"/>
                <w:b/>
                <w:bCs/>
                <w:color w:val="000000"/>
                <w:highlight w:val="yellow"/>
              </w:rPr>
            </w:pPr>
            <w:r>
              <w:rPr>
                <w:rFonts w:cs="Calibri"/>
                <w:color w:val="000000"/>
              </w:rPr>
              <w:t>Senlisse</w:t>
            </w:r>
          </w:p>
        </w:tc>
        <w:tc>
          <w:tcPr>
            <w:tcW w:w="2268" w:type="dxa"/>
            <w:noWrap/>
          </w:tcPr>
          <w:p w14:paraId="67851776"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eastAsia="Times New Roman" w:cs="Calibri"/>
                <w:color w:val="000000"/>
                <w:highlight w:val="yellow"/>
              </w:rPr>
            </w:pPr>
            <w:r>
              <w:rPr>
                <w:rFonts w:cs="Calibri"/>
                <w:color w:val="000000"/>
              </w:rPr>
              <w:t xml:space="preserve">             5 685 MWh</w:t>
            </w:r>
          </w:p>
        </w:tc>
        <w:tc>
          <w:tcPr>
            <w:tcW w:w="2410" w:type="dxa"/>
          </w:tcPr>
          <w:p w14:paraId="77E1FE3A" w14:textId="77777777" w:rsidR="00015ECC" w:rsidRPr="00D97581" w:rsidRDefault="00015ECC" w:rsidP="006212D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rPr>
            </w:pPr>
            <w:r>
              <w:rPr>
                <w:rFonts w:cs="Calibri"/>
                <w:color w:val="000000"/>
              </w:rPr>
              <w:t xml:space="preserve">             4 205 MWh</w:t>
            </w:r>
          </w:p>
        </w:tc>
      </w:tr>
    </w:tbl>
    <w:p w14:paraId="25B66449" w14:textId="77777777" w:rsidR="00015ECC" w:rsidRPr="00D97581" w:rsidRDefault="00015ECC" w:rsidP="00015ECC">
      <w:pPr>
        <w:rPr>
          <w:highlight w:val="yellow"/>
        </w:rPr>
      </w:pPr>
    </w:p>
    <w:p w14:paraId="34B39FE2" w14:textId="77777777" w:rsidR="00D0238D" w:rsidRDefault="00D0238D">
      <w:pPr>
        <w:spacing w:after="200" w:line="276" w:lineRule="auto"/>
        <w:jc w:val="left"/>
        <w:rPr>
          <w:rFonts w:asciiTheme="majorHAnsi" w:eastAsiaTheme="majorEastAsia" w:hAnsiTheme="majorHAnsi" w:cstheme="majorBidi"/>
          <w:i/>
          <w:iCs/>
          <w:color w:val="A83B22"/>
          <w:spacing w:val="15"/>
          <w:sz w:val="24"/>
          <w:szCs w:val="24"/>
        </w:rPr>
      </w:pPr>
      <w:r>
        <w:br w:type="page"/>
      </w:r>
    </w:p>
    <w:p w14:paraId="6131FDEA" w14:textId="05F8CBEB" w:rsidR="00015ECC" w:rsidRPr="00736B1A" w:rsidRDefault="00015ECC" w:rsidP="00183574">
      <w:pPr>
        <w:pStyle w:val="Sous-titre"/>
      </w:pPr>
      <w:r w:rsidRPr="00736B1A">
        <w:t>Méthodologie pour évaluer le potentiel en biogaz par méthanisation</w:t>
      </w:r>
    </w:p>
    <w:p w14:paraId="55E6D917" w14:textId="77777777" w:rsidR="00015ECC" w:rsidRPr="00736B1A" w:rsidRDefault="00015ECC" w:rsidP="00015ECC">
      <w:r w:rsidRPr="00736B1A">
        <w:t xml:space="preserve">La méthodologie et les hypothèses utilisées pour estimer ce potentiel est basée sur celle décrite dans l’étude « Estimation des gisements potentiels de substrats utilisables en méthanisation » réalisée en avril 2013 par </w:t>
      </w:r>
      <w:proofErr w:type="spellStart"/>
      <w:r w:rsidRPr="00736B1A">
        <w:t>Solagro</w:t>
      </w:r>
      <w:proofErr w:type="spellEnd"/>
      <w:r w:rsidRPr="00736B1A">
        <w:t xml:space="preserve"> et </w:t>
      </w:r>
      <w:proofErr w:type="spellStart"/>
      <w:r w:rsidRPr="00736B1A">
        <w:t>Indiggo</w:t>
      </w:r>
      <w:proofErr w:type="spellEnd"/>
      <w:r w:rsidRPr="00736B1A">
        <w:t xml:space="preserve"> pour le compte de </w:t>
      </w:r>
      <w:proofErr w:type="spellStart"/>
      <w:r w:rsidRPr="00736B1A">
        <w:t>l’Ademe</w:t>
      </w:r>
      <w:proofErr w:type="spellEnd"/>
      <w:r w:rsidRPr="00736B1A">
        <w:t>.</w:t>
      </w:r>
    </w:p>
    <w:p w14:paraId="14233474" w14:textId="77777777" w:rsidR="00015ECC" w:rsidRPr="00736B1A" w:rsidRDefault="00015ECC" w:rsidP="00015ECC"/>
    <w:p w14:paraId="25A00B9A" w14:textId="77777777" w:rsidR="00015ECC" w:rsidRPr="00736B1A" w:rsidRDefault="00015ECC" w:rsidP="00015ECC">
      <w:r w:rsidRPr="00736B1A">
        <w:t xml:space="preserve">Les hypothèses sont résumées ci-dessous : </w:t>
      </w:r>
    </w:p>
    <w:p w14:paraId="17324821" w14:textId="77777777" w:rsidR="00183574" w:rsidRDefault="00015ECC" w:rsidP="008A0F26">
      <w:pPr>
        <w:numPr>
          <w:ilvl w:val="0"/>
          <w:numId w:val="12"/>
        </w:numPr>
        <w:spacing w:before="120" w:line="276" w:lineRule="auto"/>
      </w:pPr>
      <w:r w:rsidRPr="00736B1A">
        <w:rPr>
          <w:b/>
        </w:rPr>
        <w:t>Culture</w:t>
      </w:r>
      <w:r w:rsidRPr="00736B1A">
        <w:t> : le recensement des cultures est issu du Registr</w:t>
      </w:r>
      <w:r w:rsidR="00183574">
        <w:t xml:space="preserve">e Parcellaire Graphique. </w:t>
      </w:r>
    </w:p>
    <w:p w14:paraId="07E9D509" w14:textId="7F05C84A" w:rsidR="00015ECC" w:rsidRPr="00736B1A" w:rsidRDefault="00015ECC" w:rsidP="00183574">
      <w:pPr>
        <w:spacing w:before="120" w:line="276" w:lineRule="auto"/>
        <w:ind w:left="360"/>
      </w:pPr>
      <w:r w:rsidRPr="00736B1A">
        <w:t xml:space="preserve">Les ratios de production de l’ADEME utilisés sont les suivants :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12"/>
        <w:gridCol w:w="4784"/>
        <w:gridCol w:w="2705"/>
      </w:tblGrid>
      <w:tr w:rsidR="00015ECC" w:rsidRPr="00736B1A" w14:paraId="5508CDD3" w14:textId="77777777" w:rsidTr="006212D0">
        <w:trPr>
          <w:trHeight w:val="255"/>
          <w:jc w:val="center"/>
        </w:trPr>
        <w:tc>
          <w:tcPr>
            <w:tcW w:w="1329" w:type="pct"/>
            <w:tcBorders>
              <w:top w:val="nil"/>
              <w:left w:val="nil"/>
            </w:tcBorders>
            <w:shd w:val="clear" w:color="auto" w:fill="auto"/>
            <w:noWrap/>
            <w:vAlign w:val="center"/>
            <w:hideMark/>
          </w:tcPr>
          <w:p w14:paraId="309E75B0" w14:textId="77777777" w:rsidR="00015ECC" w:rsidRPr="00736B1A" w:rsidRDefault="00015ECC" w:rsidP="006212D0">
            <w:pPr>
              <w:jc w:val="center"/>
            </w:pPr>
          </w:p>
        </w:tc>
        <w:tc>
          <w:tcPr>
            <w:tcW w:w="2345" w:type="pct"/>
            <w:shd w:val="clear" w:color="auto" w:fill="F0B19C" w:themeFill="accent1" w:themeFillTint="66"/>
            <w:noWrap/>
            <w:vAlign w:val="center"/>
            <w:hideMark/>
          </w:tcPr>
          <w:p w14:paraId="4A15BC5A" w14:textId="77777777" w:rsidR="00015ECC" w:rsidRPr="00736B1A" w:rsidRDefault="00015ECC" w:rsidP="006212D0">
            <w:pPr>
              <w:jc w:val="center"/>
              <w:rPr>
                <w:b/>
                <w:bCs/>
              </w:rPr>
            </w:pPr>
            <w:r w:rsidRPr="00736B1A">
              <w:rPr>
                <w:b/>
                <w:bCs/>
              </w:rPr>
              <w:t>Surfaces prises en compte</w:t>
            </w:r>
          </w:p>
        </w:tc>
        <w:tc>
          <w:tcPr>
            <w:tcW w:w="1326" w:type="pct"/>
            <w:shd w:val="clear" w:color="auto" w:fill="F0B19C" w:themeFill="accent1" w:themeFillTint="66"/>
            <w:noWrap/>
            <w:vAlign w:val="center"/>
            <w:hideMark/>
          </w:tcPr>
          <w:p w14:paraId="3EE79340" w14:textId="77777777" w:rsidR="00015ECC" w:rsidRPr="00736B1A" w:rsidRDefault="00015ECC" w:rsidP="006212D0">
            <w:pPr>
              <w:jc w:val="center"/>
              <w:rPr>
                <w:b/>
                <w:bCs/>
              </w:rPr>
            </w:pPr>
            <w:proofErr w:type="spellStart"/>
            <w:proofErr w:type="gramStart"/>
            <w:r w:rsidRPr="00736B1A">
              <w:rPr>
                <w:b/>
                <w:bCs/>
              </w:rPr>
              <w:t>tMB</w:t>
            </w:r>
            <w:proofErr w:type="spellEnd"/>
            <w:proofErr w:type="gramEnd"/>
            <w:r w:rsidRPr="00736B1A">
              <w:rPr>
                <w:b/>
                <w:bCs/>
              </w:rPr>
              <w:t>/ha</w:t>
            </w:r>
          </w:p>
        </w:tc>
      </w:tr>
      <w:tr w:rsidR="00015ECC" w:rsidRPr="00736B1A" w14:paraId="45CAB8EC" w14:textId="77777777" w:rsidTr="00183574">
        <w:trPr>
          <w:trHeight w:val="255"/>
          <w:jc w:val="center"/>
        </w:trPr>
        <w:tc>
          <w:tcPr>
            <w:tcW w:w="1329" w:type="pct"/>
            <w:shd w:val="clear" w:color="auto" w:fill="F0B19C" w:themeFill="accent1" w:themeFillTint="66"/>
            <w:noWrap/>
            <w:vAlign w:val="center"/>
            <w:hideMark/>
          </w:tcPr>
          <w:p w14:paraId="4DCCEDBF" w14:textId="77777777" w:rsidR="00015ECC" w:rsidRPr="00736B1A" w:rsidRDefault="00015ECC" w:rsidP="006212D0">
            <w:pPr>
              <w:jc w:val="center"/>
              <w:rPr>
                <w:b/>
                <w:bCs/>
              </w:rPr>
            </w:pPr>
            <w:r w:rsidRPr="00736B1A">
              <w:rPr>
                <w:b/>
                <w:bCs/>
              </w:rPr>
              <w:t>Pailles de céréales</w:t>
            </w:r>
          </w:p>
        </w:tc>
        <w:tc>
          <w:tcPr>
            <w:tcW w:w="2345" w:type="pct"/>
            <w:shd w:val="clear" w:color="auto" w:fill="auto"/>
            <w:noWrap/>
            <w:vAlign w:val="center"/>
            <w:hideMark/>
          </w:tcPr>
          <w:p w14:paraId="49C986E9" w14:textId="77777777" w:rsidR="00015ECC" w:rsidRPr="00736B1A" w:rsidRDefault="00015ECC" w:rsidP="006212D0">
            <w:pPr>
              <w:jc w:val="center"/>
            </w:pPr>
            <w:r w:rsidRPr="00736B1A">
              <w:t>Assolement</w:t>
            </w:r>
          </w:p>
        </w:tc>
        <w:tc>
          <w:tcPr>
            <w:tcW w:w="1326" w:type="pct"/>
            <w:shd w:val="clear" w:color="auto" w:fill="auto"/>
            <w:noWrap/>
            <w:vAlign w:val="center"/>
            <w:hideMark/>
          </w:tcPr>
          <w:p w14:paraId="53498045" w14:textId="77777777" w:rsidR="00015ECC" w:rsidRPr="00736B1A" w:rsidRDefault="00015ECC" w:rsidP="006212D0">
            <w:pPr>
              <w:jc w:val="center"/>
            </w:pPr>
            <w:r w:rsidRPr="00736B1A">
              <w:t>3,9</w:t>
            </w:r>
          </w:p>
        </w:tc>
      </w:tr>
      <w:tr w:rsidR="00015ECC" w:rsidRPr="00736B1A" w14:paraId="3E361896" w14:textId="77777777" w:rsidTr="00183574">
        <w:trPr>
          <w:trHeight w:val="255"/>
          <w:jc w:val="center"/>
        </w:trPr>
        <w:tc>
          <w:tcPr>
            <w:tcW w:w="1329" w:type="pct"/>
            <w:shd w:val="clear" w:color="auto" w:fill="F0B19C" w:themeFill="accent1" w:themeFillTint="66"/>
            <w:noWrap/>
            <w:vAlign w:val="center"/>
            <w:hideMark/>
          </w:tcPr>
          <w:p w14:paraId="0D25181E" w14:textId="77777777" w:rsidR="00015ECC" w:rsidRPr="00736B1A" w:rsidRDefault="00015ECC" w:rsidP="006212D0">
            <w:pPr>
              <w:jc w:val="center"/>
              <w:rPr>
                <w:b/>
                <w:bCs/>
              </w:rPr>
            </w:pPr>
            <w:r w:rsidRPr="00736B1A">
              <w:rPr>
                <w:b/>
                <w:bCs/>
              </w:rPr>
              <w:t>Pailles de maïs</w:t>
            </w:r>
          </w:p>
        </w:tc>
        <w:tc>
          <w:tcPr>
            <w:tcW w:w="2345" w:type="pct"/>
            <w:shd w:val="clear" w:color="auto" w:fill="auto"/>
            <w:noWrap/>
            <w:vAlign w:val="center"/>
            <w:hideMark/>
          </w:tcPr>
          <w:p w14:paraId="631AFD54" w14:textId="77777777" w:rsidR="00015ECC" w:rsidRPr="00736B1A" w:rsidRDefault="00015ECC" w:rsidP="006212D0">
            <w:pPr>
              <w:jc w:val="center"/>
            </w:pPr>
            <w:r w:rsidRPr="00736B1A">
              <w:t>Assolement</w:t>
            </w:r>
          </w:p>
        </w:tc>
        <w:tc>
          <w:tcPr>
            <w:tcW w:w="1326" w:type="pct"/>
            <w:shd w:val="clear" w:color="auto" w:fill="auto"/>
            <w:noWrap/>
            <w:vAlign w:val="center"/>
            <w:hideMark/>
          </w:tcPr>
          <w:p w14:paraId="1D7575D4" w14:textId="77777777" w:rsidR="00015ECC" w:rsidRPr="00736B1A" w:rsidRDefault="00015ECC" w:rsidP="006212D0">
            <w:pPr>
              <w:jc w:val="center"/>
            </w:pPr>
            <w:r w:rsidRPr="00736B1A">
              <w:t>3,3</w:t>
            </w:r>
          </w:p>
        </w:tc>
      </w:tr>
      <w:tr w:rsidR="00015ECC" w:rsidRPr="00736B1A" w14:paraId="1F43D2B3" w14:textId="77777777" w:rsidTr="00183574">
        <w:trPr>
          <w:trHeight w:val="255"/>
          <w:jc w:val="center"/>
        </w:trPr>
        <w:tc>
          <w:tcPr>
            <w:tcW w:w="1329" w:type="pct"/>
            <w:shd w:val="clear" w:color="auto" w:fill="F0B19C" w:themeFill="accent1" w:themeFillTint="66"/>
            <w:noWrap/>
            <w:vAlign w:val="center"/>
            <w:hideMark/>
          </w:tcPr>
          <w:p w14:paraId="3C5A12C7" w14:textId="77777777" w:rsidR="00015ECC" w:rsidRPr="00736B1A" w:rsidRDefault="00015ECC" w:rsidP="006212D0">
            <w:pPr>
              <w:jc w:val="center"/>
              <w:rPr>
                <w:b/>
                <w:bCs/>
              </w:rPr>
            </w:pPr>
            <w:r w:rsidRPr="00736B1A">
              <w:rPr>
                <w:b/>
                <w:bCs/>
              </w:rPr>
              <w:t>Pailles de colza</w:t>
            </w:r>
          </w:p>
        </w:tc>
        <w:tc>
          <w:tcPr>
            <w:tcW w:w="2345" w:type="pct"/>
            <w:shd w:val="clear" w:color="auto" w:fill="auto"/>
            <w:noWrap/>
            <w:vAlign w:val="center"/>
            <w:hideMark/>
          </w:tcPr>
          <w:p w14:paraId="668F1F6D" w14:textId="77777777" w:rsidR="00015ECC" w:rsidRPr="00736B1A" w:rsidRDefault="00015ECC" w:rsidP="006212D0">
            <w:pPr>
              <w:jc w:val="center"/>
            </w:pPr>
            <w:r w:rsidRPr="00736B1A">
              <w:t>Assolement</w:t>
            </w:r>
          </w:p>
        </w:tc>
        <w:tc>
          <w:tcPr>
            <w:tcW w:w="1326" w:type="pct"/>
            <w:shd w:val="clear" w:color="auto" w:fill="auto"/>
            <w:noWrap/>
            <w:vAlign w:val="center"/>
            <w:hideMark/>
          </w:tcPr>
          <w:p w14:paraId="1BB58F36" w14:textId="77777777" w:rsidR="00015ECC" w:rsidRPr="00736B1A" w:rsidRDefault="00015ECC" w:rsidP="006212D0">
            <w:pPr>
              <w:jc w:val="center"/>
            </w:pPr>
            <w:r w:rsidRPr="00736B1A">
              <w:t>2,1</w:t>
            </w:r>
          </w:p>
        </w:tc>
      </w:tr>
      <w:tr w:rsidR="00015ECC" w:rsidRPr="00736B1A" w14:paraId="15E582C5" w14:textId="77777777" w:rsidTr="00183574">
        <w:trPr>
          <w:trHeight w:val="255"/>
          <w:jc w:val="center"/>
        </w:trPr>
        <w:tc>
          <w:tcPr>
            <w:tcW w:w="1329" w:type="pct"/>
            <w:shd w:val="clear" w:color="auto" w:fill="F0B19C" w:themeFill="accent1" w:themeFillTint="66"/>
            <w:noWrap/>
            <w:vAlign w:val="center"/>
            <w:hideMark/>
          </w:tcPr>
          <w:p w14:paraId="07F6ECD4" w14:textId="77777777" w:rsidR="00015ECC" w:rsidRPr="00736B1A" w:rsidRDefault="00015ECC" w:rsidP="006212D0">
            <w:pPr>
              <w:jc w:val="center"/>
              <w:rPr>
                <w:b/>
                <w:bCs/>
              </w:rPr>
            </w:pPr>
            <w:r w:rsidRPr="00736B1A">
              <w:rPr>
                <w:b/>
                <w:bCs/>
              </w:rPr>
              <w:t>Pailles de tournesol</w:t>
            </w:r>
          </w:p>
        </w:tc>
        <w:tc>
          <w:tcPr>
            <w:tcW w:w="2345" w:type="pct"/>
            <w:shd w:val="clear" w:color="auto" w:fill="auto"/>
            <w:noWrap/>
            <w:vAlign w:val="center"/>
            <w:hideMark/>
          </w:tcPr>
          <w:p w14:paraId="26E845A7" w14:textId="77777777" w:rsidR="00015ECC" w:rsidRPr="00736B1A" w:rsidRDefault="00015ECC" w:rsidP="006212D0">
            <w:pPr>
              <w:jc w:val="center"/>
            </w:pPr>
            <w:r w:rsidRPr="00736B1A">
              <w:t>Assolement</w:t>
            </w:r>
          </w:p>
        </w:tc>
        <w:tc>
          <w:tcPr>
            <w:tcW w:w="1326" w:type="pct"/>
            <w:shd w:val="clear" w:color="auto" w:fill="auto"/>
            <w:noWrap/>
            <w:vAlign w:val="center"/>
            <w:hideMark/>
          </w:tcPr>
          <w:p w14:paraId="37C4D9D5" w14:textId="77777777" w:rsidR="00015ECC" w:rsidRPr="00736B1A" w:rsidRDefault="00015ECC" w:rsidP="006212D0">
            <w:pPr>
              <w:jc w:val="center"/>
            </w:pPr>
            <w:r w:rsidRPr="00736B1A">
              <w:t>2,9</w:t>
            </w:r>
          </w:p>
        </w:tc>
      </w:tr>
      <w:tr w:rsidR="00015ECC" w:rsidRPr="00736B1A" w14:paraId="45350D22" w14:textId="77777777" w:rsidTr="00183574">
        <w:trPr>
          <w:trHeight w:val="885"/>
          <w:jc w:val="center"/>
        </w:trPr>
        <w:tc>
          <w:tcPr>
            <w:tcW w:w="1329" w:type="pct"/>
            <w:shd w:val="clear" w:color="auto" w:fill="F0B19C" w:themeFill="accent1" w:themeFillTint="66"/>
            <w:noWrap/>
            <w:vAlign w:val="center"/>
            <w:hideMark/>
          </w:tcPr>
          <w:p w14:paraId="20D6707F" w14:textId="77777777" w:rsidR="00015ECC" w:rsidRPr="00736B1A" w:rsidRDefault="00015ECC" w:rsidP="006212D0">
            <w:pPr>
              <w:jc w:val="center"/>
              <w:rPr>
                <w:b/>
                <w:bCs/>
              </w:rPr>
            </w:pPr>
            <w:r w:rsidRPr="00736B1A">
              <w:rPr>
                <w:b/>
                <w:bCs/>
              </w:rPr>
              <w:t xml:space="preserve">CIVE (Culture Intermédiaire </w:t>
            </w:r>
          </w:p>
          <w:p w14:paraId="5DA68310" w14:textId="77777777" w:rsidR="00015ECC" w:rsidRPr="00736B1A" w:rsidRDefault="00015ECC" w:rsidP="006212D0">
            <w:pPr>
              <w:jc w:val="center"/>
              <w:rPr>
                <w:b/>
                <w:bCs/>
              </w:rPr>
            </w:pPr>
            <w:proofErr w:type="gramStart"/>
            <w:r w:rsidRPr="00736B1A">
              <w:rPr>
                <w:b/>
                <w:bCs/>
              </w:rPr>
              <w:t>à</w:t>
            </w:r>
            <w:proofErr w:type="gramEnd"/>
            <w:r w:rsidRPr="00736B1A">
              <w:rPr>
                <w:b/>
                <w:bCs/>
              </w:rPr>
              <w:t xml:space="preserve"> Vocation Énergétique)</w:t>
            </w:r>
          </w:p>
        </w:tc>
        <w:tc>
          <w:tcPr>
            <w:tcW w:w="2345" w:type="pct"/>
            <w:shd w:val="clear" w:color="auto" w:fill="auto"/>
            <w:vAlign w:val="center"/>
            <w:hideMark/>
          </w:tcPr>
          <w:p w14:paraId="57FEEF3A" w14:textId="77777777" w:rsidR="00015ECC" w:rsidRPr="00736B1A" w:rsidRDefault="00015ECC" w:rsidP="006212D0">
            <w:pPr>
              <w:jc w:val="center"/>
            </w:pPr>
            <w:r w:rsidRPr="00736B1A">
              <w:t>Cultures de printemps hors monoculture de maïs grain et autres incompatibilité</w:t>
            </w:r>
          </w:p>
        </w:tc>
        <w:tc>
          <w:tcPr>
            <w:tcW w:w="1326" w:type="pct"/>
            <w:shd w:val="clear" w:color="auto" w:fill="auto"/>
            <w:noWrap/>
            <w:vAlign w:val="center"/>
            <w:hideMark/>
          </w:tcPr>
          <w:p w14:paraId="6A2C6BEB" w14:textId="77777777" w:rsidR="00015ECC" w:rsidRPr="00736B1A" w:rsidRDefault="00015ECC" w:rsidP="006212D0">
            <w:pPr>
              <w:jc w:val="center"/>
            </w:pPr>
            <w:r w:rsidRPr="00736B1A">
              <w:t>11,3</w:t>
            </w:r>
          </w:p>
        </w:tc>
      </w:tr>
      <w:tr w:rsidR="00015ECC" w:rsidRPr="00736B1A" w14:paraId="1D76E138" w14:textId="77777777" w:rsidTr="00183574">
        <w:trPr>
          <w:trHeight w:val="255"/>
          <w:jc w:val="center"/>
        </w:trPr>
        <w:tc>
          <w:tcPr>
            <w:tcW w:w="1329" w:type="pct"/>
            <w:shd w:val="clear" w:color="auto" w:fill="F0B19C" w:themeFill="accent1" w:themeFillTint="66"/>
            <w:noWrap/>
            <w:vAlign w:val="center"/>
            <w:hideMark/>
          </w:tcPr>
          <w:p w14:paraId="1F45A75F" w14:textId="77777777" w:rsidR="00015ECC" w:rsidRPr="00736B1A" w:rsidRDefault="00015ECC" w:rsidP="006212D0">
            <w:pPr>
              <w:jc w:val="center"/>
              <w:rPr>
                <w:b/>
                <w:bCs/>
              </w:rPr>
            </w:pPr>
            <w:r w:rsidRPr="00736B1A">
              <w:rPr>
                <w:b/>
                <w:bCs/>
              </w:rPr>
              <w:t>Issues de silos</w:t>
            </w:r>
          </w:p>
        </w:tc>
        <w:tc>
          <w:tcPr>
            <w:tcW w:w="2345" w:type="pct"/>
            <w:shd w:val="clear" w:color="auto" w:fill="auto"/>
            <w:vAlign w:val="center"/>
            <w:hideMark/>
          </w:tcPr>
          <w:p w14:paraId="4E32AF11" w14:textId="77777777" w:rsidR="00015ECC" w:rsidRPr="00736B1A" w:rsidRDefault="00015ECC" w:rsidP="006212D0">
            <w:pPr>
              <w:jc w:val="center"/>
            </w:pPr>
            <w:r w:rsidRPr="00736B1A">
              <w:t>Céréales + tournesol + colza</w:t>
            </w:r>
          </w:p>
        </w:tc>
        <w:tc>
          <w:tcPr>
            <w:tcW w:w="1326" w:type="pct"/>
            <w:shd w:val="clear" w:color="auto" w:fill="auto"/>
            <w:noWrap/>
            <w:vAlign w:val="center"/>
            <w:hideMark/>
          </w:tcPr>
          <w:p w14:paraId="09730AED" w14:textId="77777777" w:rsidR="00015ECC" w:rsidRPr="00736B1A" w:rsidRDefault="00015ECC" w:rsidP="006212D0">
            <w:pPr>
              <w:jc w:val="center"/>
            </w:pPr>
            <w:r w:rsidRPr="00736B1A">
              <w:t>0,04</w:t>
            </w:r>
          </w:p>
        </w:tc>
      </w:tr>
      <w:tr w:rsidR="00015ECC" w:rsidRPr="00736B1A" w14:paraId="67DEC437" w14:textId="77777777" w:rsidTr="00183574">
        <w:trPr>
          <w:trHeight w:val="255"/>
          <w:jc w:val="center"/>
        </w:trPr>
        <w:tc>
          <w:tcPr>
            <w:tcW w:w="1329" w:type="pct"/>
            <w:shd w:val="clear" w:color="auto" w:fill="F0B19C" w:themeFill="accent1" w:themeFillTint="66"/>
            <w:noWrap/>
            <w:vAlign w:val="center"/>
            <w:hideMark/>
          </w:tcPr>
          <w:p w14:paraId="74AAE0E1" w14:textId="77777777" w:rsidR="00015ECC" w:rsidRPr="00736B1A" w:rsidRDefault="00015ECC" w:rsidP="006212D0">
            <w:pPr>
              <w:jc w:val="center"/>
              <w:rPr>
                <w:b/>
                <w:bCs/>
              </w:rPr>
            </w:pPr>
            <w:r w:rsidRPr="00736B1A">
              <w:rPr>
                <w:b/>
                <w:bCs/>
              </w:rPr>
              <w:t>Fanes de betteraves</w:t>
            </w:r>
          </w:p>
        </w:tc>
        <w:tc>
          <w:tcPr>
            <w:tcW w:w="2345" w:type="pct"/>
            <w:shd w:val="clear" w:color="auto" w:fill="auto"/>
            <w:noWrap/>
            <w:vAlign w:val="center"/>
            <w:hideMark/>
          </w:tcPr>
          <w:p w14:paraId="5A821923" w14:textId="77777777" w:rsidR="00015ECC" w:rsidRPr="00736B1A" w:rsidRDefault="00015ECC" w:rsidP="006212D0">
            <w:pPr>
              <w:jc w:val="center"/>
            </w:pPr>
            <w:r w:rsidRPr="00736B1A">
              <w:t>Assolement</w:t>
            </w:r>
          </w:p>
        </w:tc>
        <w:tc>
          <w:tcPr>
            <w:tcW w:w="1326" w:type="pct"/>
            <w:shd w:val="clear" w:color="auto" w:fill="auto"/>
            <w:noWrap/>
            <w:vAlign w:val="center"/>
            <w:hideMark/>
          </w:tcPr>
          <w:p w14:paraId="4C0B483A" w14:textId="77777777" w:rsidR="00015ECC" w:rsidRPr="00736B1A" w:rsidRDefault="00015ECC" w:rsidP="006212D0">
            <w:pPr>
              <w:jc w:val="center"/>
            </w:pPr>
            <w:r w:rsidRPr="00736B1A">
              <w:t>30</w:t>
            </w:r>
          </w:p>
        </w:tc>
      </w:tr>
      <w:tr w:rsidR="00015ECC" w:rsidRPr="00736B1A" w14:paraId="2BE27429" w14:textId="77777777" w:rsidTr="00183574">
        <w:trPr>
          <w:trHeight w:val="510"/>
          <w:jc w:val="center"/>
        </w:trPr>
        <w:tc>
          <w:tcPr>
            <w:tcW w:w="1329" w:type="pct"/>
            <w:shd w:val="clear" w:color="auto" w:fill="F0B19C" w:themeFill="accent1" w:themeFillTint="66"/>
            <w:noWrap/>
            <w:vAlign w:val="center"/>
            <w:hideMark/>
          </w:tcPr>
          <w:p w14:paraId="681A6871" w14:textId="77777777" w:rsidR="00015ECC" w:rsidRPr="00736B1A" w:rsidRDefault="00015ECC" w:rsidP="006212D0">
            <w:pPr>
              <w:jc w:val="center"/>
              <w:rPr>
                <w:b/>
                <w:bCs/>
              </w:rPr>
            </w:pPr>
            <w:r w:rsidRPr="00736B1A">
              <w:rPr>
                <w:b/>
                <w:bCs/>
              </w:rPr>
              <w:t>Menues pailles</w:t>
            </w:r>
          </w:p>
        </w:tc>
        <w:tc>
          <w:tcPr>
            <w:tcW w:w="2345" w:type="pct"/>
            <w:shd w:val="clear" w:color="auto" w:fill="auto"/>
            <w:vAlign w:val="center"/>
            <w:hideMark/>
          </w:tcPr>
          <w:p w14:paraId="5825978F" w14:textId="77777777" w:rsidR="00015ECC" w:rsidRPr="00736B1A" w:rsidRDefault="00015ECC" w:rsidP="006212D0">
            <w:pPr>
              <w:jc w:val="center"/>
            </w:pPr>
            <w:r w:rsidRPr="00736B1A">
              <w:t>Céréales à paille + Paille de colza</w:t>
            </w:r>
          </w:p>
        </w:tc>
        <w:tc>
          <w:tcPr>
            <w:tcW w:w="1326" w:type="pct"/>
            <w:shd w:val="clear" w:color="auto" w:fill="auto"/>
            <w:noWrap/>
            <w:vAlign w:val="center"/>
            <w:hideMark/>
          </w:tcPr>
          <w:p w14:paraId="353420FE" w14:textId="77777777" w:rsidR="00015ECC" w:rsidRPr="00736B1A" w:rsidRDefault="00015ECC" w:rsidP="006212D0">
            <w:pPr>
              <w:jc w:val="center"/>
            </w:pPr>
            <w:r w:rsidRPr="00736B1A">
              <w:t>1,6</w:t>
            </w:r>
          </w:p>
        </w:tc>
      </w:tr>
    </w:tbl>
    <w:p w14:paraId="298F121A" w14:textId="77777777" w:rsidR="00015ECC" w:rsidRPr="00736B1A" w:rsidRDefault="00015ECC" w:rsidP="00015ECC"/>
    <w:p w14:paraId="4CF89ECD" w14:textId="4F09CEEC" w:rsidR="00EA1E3D" w:rsidRPr="00736B1A" w:rsidRDefault="00015ECC" w:rsidP="00DE28CA">
      <w:pPr>
        <w:numPr>
          <w:ilvl w:val="0"/>
          <w:numId w:val="12"/>
        </w:numPr>
        <w:spacing w:before="120" w:line="276" w:lineRule="auto"/>
      </w:pPr>
      <w:r w:rsidRPr="00D0238D">
        <w:rPr>
          <w:b/>
        </w:rPr>
        <w:t>Cheptels</w:t>
      </w:r>
      <w:r w:rsidRPr="00736B1A">
        <w:t xml:space="preserve"> : les données sur les cheptels sont issues du Recensement Agricole 2010. </w:t>
      </w:r>
      <w:r w:rsidRPr="00736B1A">
        <w:br/>
        <w:t xml:space="preserve">Les ratios de production de l’ADEME utilisés sont les suivants : </w:t>
      </w:r>
    </w:p>
    <w:tbl>
      <w:tblPr>
        <w:tblW w:w="26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12"/>
        <w:gridCol w:w="2705"/>
      </w:tblGrid>
      <w:tr w:rsidR="00015ECC" w:rsidRPr="00736B1A" w14:paraId="3B316A23" w14:textId="77777777" w:rsidTr="006212D0">
        <w:trPr>
          <w:trHeight w:val="255"/>
          <w:jc w:val="center"/>
        </w:trPr>
        <w:tc>
          <w:tcPr>
            <w:tcW w:w="2503" w:type="pct"/>
            <w:tcBorders>
              <w:top w:val="nil"/>
              <w:left w:val="nil"/>
            </w:tcBorders>
            <w:shd w:val="clear" w:color="auto" w:fill="auto"/>
            <w:noWrap/>
            <w:vAlign w:val="center"/>
            <w:hideMark/>
          </w:tcPr>
          <w:p w14:paraId="190FCAC2" w14:textId="77777777" w:rsidR="00015ECC" w:rsidRPr="00736B1A" w:rsidRDefault="00015ECC" w:rsidP="006212D0">
            <w:pPr>
              <w:jc w:val="center"/>
            </w:pPr>
          </w:p>
        </w:tc>
        <w:tc>
          <w:tcPr>
            <w:tcW w:w="2497" w:type="pct"/>
            <w:shd w:val="clear" w:color="auto" w:fill="F0B19C" w:themeFill="accent1" w:themeFillTint="66"/>
            <w:noWrap/>
            <w:vAlign w:val="center"/>
            <w:hideMark/>
          </w:tcPr>
          <w:p w14:paraId="0DE23C56" w14:textId="77777777" w:rsidR="00015ECC" w:rsidRPr="00736B1A" w:rsidRDefault="00015ECC" w:rsidP="006212D0">
            <w:pPr>
              <w:jc w:val="center"/>
              <w:rPr>
                <w:b/>
                <w:bCs/>
              </w:rPr>
            </w:pPr>
            <w:r w:rsidRPr="00736B1A">
              <w:rPr>
                <w:b/>
                <w:bCs/>
              </w:rPr>
              <w:t>Production MS/an/animal</w:t>
            </w:r>
          </w:p>
        </w:tc>
      </w:tr>
      <w:tr w:rsidR="00015ECC" w:rsidRPr="00736B1A" w14:paraId="576EED44" w14:textId="77777777" w:rsidTr="00183574">
        <w:trPr>
          <w:trHeight w:val="255"/>
          <w:jc w:val="center"/>
        </w:trPr>
        <w:tc>
          <w:tcPr>
            <w:tcW w:w="2503" w:type="pct"/>
            <w:shd w:val="clear" w:color="auto" w:fill="F0B19C" w:themeFill="accent1" w:themeFillTint="66"/>
            <w:noWrap/>
            <w:vAlign w:val="center"/>
            <w:hideMark/>
          </w:tcPr>
          <w:p w14:paraId="71C191B6" w14:textId="77777777" w:rsidR="00015ECC" w:rsidRPr="00736B1A" w:rsidRDefault="00015ECC" w:rsidP="006212D0">
            <w:pPr>
              <w:jc w:val="center"/>
              <w:rPr>
                <w:b/>
                <w:bCs/>
              </w:rPr>
            </w:pPr>
            <w:r w:rsidRPr="00736B1A">
              <w:rPr>
                <w:b/>
                <w:bCs/>
              </w:rPr>
              <w:t>Vaches laitières</w:t>
            </w:r>
          </w:p>
        </w:tc>
        <w:tc>
          <w:tcPr>
            <w:tcW w:w="2497" w:type="pct"/>
            <w:shd w:val="clear" w:color="auto" w:fill="auto"/>
            <w:noWrap/>
            <w:vAlign w:val="center"/>
            <w:hideMark/>
          </w:tcPr>
          <w:p w14:paraId="29FFDA85" w14:textId="77777777" w:rsidR="00015ECC" w:rsidRPr="00736B1A" w:rsidRDefault="00015ECC" w:rsidP="006212D0">
            <w:pPr>
              <w:jc w:val="center"/>
            </w:pPr>
            <w:r w:rsidRPr="00736B1A">
              <w:t>1 948 kg</w:t>
            </w:r>
          </w:p>
        </w:tc>
      </w:tr>
      <w:tr w:rsidR="00015ECC" w:rsidRPr="00736B1A" w14:paraId="16797B82" w14:textId="77777777" w:rsidTr="00183574">
        <w:trPr>
          <w:trHeight w:val="255"/>
          <w:jc w:val="center"/>
        </w:trPr>
        <w:tc>
          <w:tcPr>
            <w:tcW w:w="2503" w:type="pct"/>
            <w:shd w:val="clear" w:color="auto" w:fill="F0B19C" w:themeFill="accent1" w:themeFillTint="66"/>
            <w:noWrap/>
            <w:vAlign w:val="center"/>
            <w:hideMark/>
          </w:tcPr>
          <w:p w14:paraId="55913872" w14:textId="77777777" w:rsidR="00015ECC" w:rsidRPr="00736B1A" w:rsidRDefault="00015ECC" w:rsidP="006212D0">
            <w:pPr>
              <w:jc w:val="center"/>
              <w:rPr>
                <w:b/>
                <w:bCs/>
              </w:rPr>
            </w:pPr>
            <w:r w:rsidRPr="00736B1A">
              <w:rPr>
                <w:b/>
                <w:bCs/>
              </w:rPr>
              <w:t>Vaches nourrices</w:t>
            </w:r>
          </w:p>
        </w:tc>
        <w:tc>
          <w:tcPr>
            <w:tcW w:w="2497" w:type="pct"/>
            <w:shd w:val="clear" w:color="auto" w:fill="auto"/>
            <w:noWrap/>
            <w:vAlign w:val="center"/>
            <w:hideMark/>
          </w:tcPr>
          <w:p w14:paraId="3F2F5916" w14:textId="77777777" w:rsidR="00015ECC" w:rsidRPr="00736B1A" w:rsidRDefault="00015ECC" w:rsidP="006212D0">
            <w:pPr>
              <w:jc w:val="center"/>
            </w:pPr>
            <w:r w:rsidRPr="00736B1A">
              <w:t>1 612 kg</w:t>
            </w:r>
          </w:p>
        </w:tc>
      </w:tr>
      <w:tr w:rsidR="00015ECC" w:rsidRPr="00736B1A" w14:paraId="05C0DB97" w14:textId="77777777" w:rsidTr="00183574">
        <w:trPr>
          <w:trHeight w:val="255"/>
          <w:jc w:val="center"/>
        </w:trPr>
        <w:tc>
          <w:tcPr>
            <w:tcW w:w="2503" w:type="pct"/>
            <w:shd w:val="clear" w:color="auto" w:fill="F0B19C" w:themeFill="accent1" w:themeFillTint="66"/>
            <w:noWrap/>
            <w:vAlign w:val="center"/>
            <w:hideMark/>
          </w:tcPr>
          <w:p w14:paraId="4D83EDE3" w14:textId="77777777" w:rsidR="00015ECC" w:rsidRPr="00736B1A" w:rsidRDefault="00015ECC" w:rsidP="006212D0">
            <w:pPr>
              <w:jc w:val="center"/>
              <w:rPr>
                <w:b/>
                <w:bCs/>
              </w:rPr>
            </w:pPr>
            <w:r w:rsidRPr="00736B1A">
              <w:rPr>
                <w:b/>
                <w:bCs/>
              </w:rPr>
              <w:t>Équidés</w:t>
            </w:r>
          </w:p>
        </w:tc>
        <w:tc>
          <w:tcPr>
            <w:tcW w:w="2497" w:type="pct"/>
            <w:shd w:val="clear" w:color="auto" w:fill="auto"/>
            <w:noWrap/>
            <w:vAlign w:val="center"/>
            <w:hideMark/>
          </w:tcPr>
          <w:p w14:paraId="5949F820" w14:textId="77777777" w:rsidR="00015ECC" w:rsidRPr="00736B1A" w:rsidRDefault="00015ECC" w:rsidP="006212D0">
            <w:pPr>
              <w:jc w:val="center"/>
            </w:pPr>
            <w:r w:rsidRPr="00736B1A">
              <w:t>631 kg</w:t>
            </w:r>
          </w:p>
        </w:tc>
      </w:tr>
      <w:tr w:rsidR="00015ECC" w:rsidRPr="00736B1A" w14:paraId="71E0D86F" w14:textId="77777777" w:rsidTr="00183574">
        <w:trPr>
          <w:trHeight w:val="255"/>
          <w:jc w:val="center"/>
        </w:trPr>
        <w:tc>
          <w:tcPr>
            <w:tcW w:w="2503" w:type="pct"/>
            <w:shd w:val="clear" w:color="auto" w:fill="F0B19C" w:themeFill="accent1" w:themeFillTint="66"/>
            <w:noWrap/>
            <w:vAlign w:val="center"/>
            <w:hideMark/>
          </w:tcPr>
          <w:p w14:paraId="52B4DBEA" w14:textId="77777777" w:rsidR="00015ECC" w:rsidRPr="00736B1A" w:rsidRDefault="00015ECC" w:rsidP="006212D0">
            <w:pPr>
              <w:jc w:val="center"/>
              <w:rPr>
                <w:b/>
                <w:bCs/>
              </w:rPr>
            </w:pPr>
            <w:r w:rsidRPr="00736B1A">
              <w:rPr>
                <w:b/>
                <w:bCs/>
              </w:rPr>
              <w:t>Caprins</w:t>
            </w:r>
          </w:p>
        </w:tc>
        <w:tc>
          <w:tcPr>
            <w:tcW w:w="2497" w:type="pct"/>
            <w:shd w:val="clear" w:color="auto" w:fill="auto"/>
            <w:noWrap/>
            <w:vAlign w:val="center"/>
            <w:hideMark/>
          </w:tcPr>
          <w:p w14:paraId="7F65725A" w14:textId="77777777" w:rsidR="00015ECC" w:rsidRPr="00736B1A" w:rsidRDefault="00015ECC" w:rsidP="006212D0">
            <w:pPr>
              <w:jc w:val="center"/>
            </w:pPr>
            <w:r w:rsidRPr="00736B1A">
              <w:t>336 kg</w:t>
            </w:r>
          </w:p>
        </w:tc>
      </w:tr>
      <w:tr w:rsidR="00015ECC" w:rsidRPr="00736B1A" w14:paraId="3B8EAA9C" w14:textId="77777777" w:rsidTr="00183574">
        <w:trPr>
          <w:trHeight w:val="885"/>
          <w:jc w:val="center"/>
        </w:trPr>
        <w:tc>
          <w:tcPr>
            <w:tcW w:w="2503" w:type="pct"/>
            <w:shd w:val="clear" w:color="auto" w:fill="F0B19C" w:themeFill="accent1" w:themeFillTint="66"/>
            <w:noWrap/>
            <w:vAlign w:val="center"/>
            <w:hideMark/>
          </w:tcPr>
          <w:p w14:paraId="59DC1056" w14:textId="77777777" w:rsidR="00015ECC" w:rsidRPr="00736B1A" w:rsidRDefault="00015ECC" w:rsidP="006212D0">
            <w:pPr>
              <w:jc w:val="center"/>
              <w:rPr>
                <w:b/>
                <w:bCs/>
              </w:rPr>
            </w:pPr>
            <w:r w:rsidRPr="00736B1A">
              <w:rPr>
                <w:b/>
                <w:bCs/>
              </w:rPr>
              <w:t>Ovins</w:t>
            </w:r>
          </w:p>
        </w:tc>
        <w:tc>
          <w:tcPr>
            <w:tcW w:w="2497" w:type="pct"/>
            <w:shd w:val="clear" w:color="auto" w:fill="auto"/>
            <w:noWrap/>
            <w:vAlign w:val="center"/>
            <w:hideMark/>
          </w:tcPr>
          <w:p w14:paraId="6A6B9060" w14:textId="77777777" w:rsidR="00015ECC" w:rsidRPr="00736B1A" w:rsidRDefault="00015ECC" w:rsidP="006212D0">
            <w:pPr>
              <w:jc w:val="center"/>
            </w:pPr>
            <w:r w:rsidRPr="00736B1A">
              <w:t>148 kg</w:t>
            </w:r>
          </w:p>
        </w:tc>
      </w:tr>
      <w:tr w:rsidR="00015ECC" w:rsidRPr="00736B1A" w14:paraId="10AAF415" w14:textId="77777777" w:rsidTr="00183574">
        <w:trPr>
          <w:trHeight w:val="255"/>
          <w:jc w:val="center"/>
        </w:trPr>
        <w:tc>
          <w:tcPr>
            <w:tcW w:w="2503" w:type="pct"/>
            <w:shd w:val="clear" w:color="auto" w:fill="F0B19C" w:themeFill="accent1" w:themeFillTint="66"/>
            <w:noWrap/>
            <w:vAlign w:val="center"/>
            <w:hideMark/>
          </w:tcPr>
          <w:p w14:paraId="6B34068D" w14:textId="77777777" w:rsidR="00015ECC" w:rsidRPr="00736B1A" w:rsidRDefault="00015ECC" w:rsidP="006212D0">
            <w:pPr>
              <w:jc w:val="center"/>
              <w:rPr>
                <w:b/>
                <w:bCs/>
              </w:rPr>
            </w:pPr>
            <w:r w:rsidRPr="00736B1A">
              <w:rPr>
                <w:b/>
                <w:bCs/>
              </w:rPr>
              <w:t>Porcs</w:t>
            </w:r>
          </w:p>
        </w:tc>
        <w:tc>
          <w:tcPr>
            <w:tcW w:w="2497" w:type="pct"/>
            <w:shd w:val="clear" w:color="auto" w:fill="auto"/>
            <w:noWrap/>
            <w:vAlign w:val="center"/>
            <w:hideMark/>
          </w:tcPr>
          <w:p w14:paraId="45EC2DEF" w14:textId="77777777" w:rsidR="00015ECC" w:rsidRPr="00736B1A" w:rsidRDefault="00015ECC" w:rsidP="006212D0">
            <w:pPr>
              <w:jc w:val="center"/>
            </w:pPr>
            <w:r w:rsidRPr="00736B1A">
              <w:t>76 kg</w:t>
            </w:r>
          </w:p>
        </w:tc>
      </w:tr>
      <w:tr w:rsidR="00015ECC" w:rsidRPr="00736B1A" w14:paraId="137DF3C0" w14:textId="77777777" w:rsidTr="00183574">
        <w:trPr>
          <w:trHeight w:val="255"/>
          <w:jc w:val="center"/>
        </w:trPr>
        <w:tc>
          <w:tcPr>
            <w:tcW w:w="2503" w:type="pct"/>
            <w:shd w:val="clear" w:color="auto" w:fill="F0B19C" w:themeFill="accent1" w:themeFillTint="66"/>
            <w:noWrap/>
            <w:vAlign w:val="center"/>
            <w:hideMark/>
          </w:tcPr>
          <w:p w14:paraId="09627D55" w14:textId="77777777" w:rsidR="00015ECC" w:rsidRPr="00736B1A" w:rsidRDefault="00015ECC" w:rsidP="006212D0">
            <w:pPr>
              <w:jc w:val="center"/>
              <w:rPr>
                <w:b/>
                <w:bCs/>
              </w:rPr>
            </w:pPr>
            <w:r w:rsidRPr="00736B1A">
              <w:rPr>
                <w:b/>
                <w:bCs/>
              </w:rPr>
              <w:t>Volailles</w:t>
            </w:r>
          </w:p>
        </w:tc>
        <w:tc>
          <w:tcPr>
            <w:tcW w:w="2497" w:type="pct"/>
            <w:shd w:val="clear" w:color="auto" w:fill="auto"/>
            <w:noWrap/>
            <w:vAlign w:val="center"/>
            <w:hideMark/>
          </w:tcPr>
          <w:p w14:paraId="226EE618" w14:textId="77777777" w:rsidR="00015ECC" w:rsidRPr="00736B1A" w:rsidRDefault="00015ECC" w:rsidP="006212D0">
            <w:pPr>
              <w:jc w:val="center"/>
            </w:pPr>
            <w:r w:rsidRPr="00736B1A">
              <w:t>12 kg</w:t>
            </w:r>
          </w:p>
        </w:tc>
      </w:tr>
    </w:tbl>
    <w:p w14:paraId="61FCB5BC" w14:textId="77777777" w:rsidR="00015ECC" w:rsidRPr="00736B1A" w:rsidRDefault="00015ECC" w:rsidP="00015ECC">
      <w:pPr>
        <w:pStyle w:val="Paragraphedeliste"/>
      </w:pPr>
    </w:p>
    <w:p w14:paraId="36D4D4D9" w14:textId="77777777" w:rsidR="00015ECC" w:rsidRPr="00736B1A" w:rsidRDefault="00015ECC" w:rsidP="008A0F26">
      <w:pPr>
        <w:pStyle w:val="Paragraphedeliste"/>
        <w:numPr>
          <w:ilvl w:val="0"/>
          <w:numId w:val="12"/>
        </w:numPr>
        <w:spacing w:before="120" w:line="276" w:lineRule="auto"/>
        <w:rPr>
          <w:b/>
        </w:rPr>
      </w:pPr>
      <w:r w:rsidRPr="00736B1A">
        <w:rPr>
          <w:b/>
        </w:rPr>
        <w:t>Hôpitaux  / EHPAD</w:t>
      </w:r>
    </w:p>
    <w:tbl>
      <w:tblPr>
        <w:tblStyle w:val="Grilledutableau"/>
        <w:tblW w:w="5000" w:type="pct"/>
        <w:jc w:val="center"/>
        <w:tblLook w:val="04A0" w:firstRow="1" w:lastRow="0" w:firstColumn="1" w:lastColumn="0" w:noHBand="0" w:noVBand="1"/>
      </w:tblPr>
      <w:tblGrid>
        <w:gridCol w:w="4896"/>
        <w:gridCol w:w="5300"/>
      </w:tblGrid>
      <w:tr w:rsidR="00015ECC" w:rsidRPr="00736B1A" w14:paraId="454ECC64" w14:textId="77777777" w:rsidTr="006212D0">
        <w:trPr>
          <w:jc w:val="center"/>
        </w:trPr>
        <w:tc>
          <w:tcPr>
            <w:tcW w:w="2401" w:type="pct"/>
            <w:shd w:val="clear" w:color="auto" w:fill="F0B19C" w:themeFill="accent1" w:themeFillTint="66"/>
            <w:vAlign w:val="center"/>
          </w:tcPr>
          <w:p w14:paraId="1DF663B9" w14:textId="77777777" w:rsidR="00015ECC" w:rsidRPr="00736B1A" w:rsidRDefault="00015ECC" w:rsidP="006212D0">
            <w:pPr>
              <w:spacing w:line="259" w:lineRule="auto"/>
              <w:jc w:val="center"/>
              <w:rPr>
                <w:b/>
              </w:rPr>
            </w:pPr>
            <w:r w:rsidRPr="00736B1A">
              <w:rPr>
                <w:b/>
              </w:rPr>
              <w:t>Production de déchets organiques</w:t>
            </w:r>
          </w:p>
        </w:tc>
        <w:tc>
          <w:tcPr>
            <w:tcW w:w="2599" w:type="pct"/>
            <w:shd w:val="clear" w:color="auto" w:fill="F0B19C" w:themeFill="accent1" w:themeFillTint="66"/>
            <w:vAlign w:val="center"/>
          </w:tcPr>
          <w:p w14:paraId="105C7059" w14:textId="77777777" w:rsidR="00015ECC" w:rsidRPr="00736B1A" w:rsidRDefault="00015ECC" w:rsidP="006212D0">
            <w:pPr>
              <w:spacing w:line="259" w:lineRule="auto"/>
              <w:jc w:val="center"/>
              <w:rPr>
                <w:b/>
              </w:rPr>
            </w:pPr>
            <w:r w:rsidRPr="00736B1A">
              <w:rPr>
                <w:b/>
              </w:rPr>
              <w:t>Production d’huile alimentaire usagée</w:t>
            </w:r>
          </w:p>
        </w:tc>
      </w:tr>
      <w:tr w:rsidR="00015ECC" w:rsidRPr="00736B1A" w14:paraId="3D6B4701" w14:textId="77777777" w:rsidTr="00183574">
        <w:trPr>
          <w:jc w:val="center"/>
        </w:trPr>
        <w:tc>
          <w:tcPr>
            <w:tcW w:w="2401" w:type="pct"/>
            <w:shd w:val="clear" w:color="auto" w:fill="auto"/>
            <w:vAlign w:val="center"/>
          </w:tcPr>
          <w:p w14:paraId="7B03EBCC" w14:textId="77777777" w:rsidR="00015ECC" w:rsidRPr="00736B1A" w:rsidRDefault="00015ECC" w:rsidP="006212D0">
            <w:pPr>
              <w:spacing w:line="259" w:lineRule="auto"/>
              <w:jc w:val="center"/>
            </w:pPr>
            <w:r w:rsidRPr="00736B1A">
              <w:t>185 g/repas</w:t>
            </w:r>
          </w:p>
        </w:tc>
        <w:tc>
          <w:tcPr>
            <w:tcW w:w="2599" w:type="pct"/>
            <w:shd w:val="clear" w:color="auto" w:fill="auto"/>
            <w:vAlign w:val="center"/>
          </w:tcPr>
          <w:p w14:paraId="6079D849" w14:textId="77777777" w:rsidR="00015ECC" w:rsidRPr="00736B1A" w:rsidRDefault="00015ECC" w:rsidP="006212D0">
            <w:pPr>
              <w:spacing w:line="259" w:lineRule="auto"/>
              <w:jc w:val="center"/>
            </w:pPr>
            <w:r w:rsidRPr="00736B1A">
              <w:t xml:space="preserve">8 </w:t>
            </w:r>
            <w:proofErr w:type="spellStart"/>
            <w:r w:rsidRPr="00736B1A">
              <w:t>mL</w:t>
            </w:r>
            <w:proofErr w:type="spellEnd"/>
            <w:r w:rsidRPr="00736B1A">
              <w:t>/repas</w:t>
            </w:r>
          </w:p>
        </w:tc>
      </w:tr>
    </w:tbl>
    <w:p w14:paraId="578FCD13" w14:textId="77777777" w:rsidR="00015ECC" w:rsidRPr="00736B1A" w:rsidRDefault="00015ECC" w:rsidP="00015ECC">
      <w:pPr>
        <w:spacing w:after="160" w:line="259" w:lineRule="auto"/>
        <w:ind w:left="720"/>
        <w:jc w:val="left"/>
      </w:pPr>
    </w:p>
    <w:p w14:paraId="42BB3854" w14:textId="77777777" w:rsidR="00015ECC" w:rsidRPr="00736B1A" w:rsidRDefault="00015ECC" w:rsidP="008A0F26">
      <w:pPr>
        <w:numPr>
          <w:ilvl w:val="0"/>
          <w:numId w:val="12"/>
        </w:numPr>
        <w:spacing w:after="160" w:line="259" w:lineRule="auto"/>
        <w:jc w:val="left"/>
      </w:pPr>
      <w:r w:rsidRPr="00736B1A">
        <w:rPr>
          <w:b/>
        </w:rPr>
        <w:t>Établissements scolaires</w:t>
      </w:r>
      <w:r w:rsidRPr="00736B1A">
        <w:t> : la production d’huile alimentaire usagée est toujours de 8mL/repas</w:t>
      </w:r>
    </w:p>
    <w:tbl>
      <w:tblPr>
        <w:tblStyle w:val="Grilledutableau"/>
        <w:tblW w:w="5000" w:type="pct"/>
        <w:tblLook w:val="04A0" w:firstRow="1" w:lastRow="0" w:firstColumn="1" w:lastColumn="0" w:noHBand="0" w:noVBand="1"/>
      </w:tblPr>
      <w:tblGrid>
        <w:gridCol w:w="2627"/>
        <w:gridCol w:w="2353"/>
        <w:gridCol w:w="2512"/>
        <w:gridCol w:w="2704"/>
      </w:tblGrid>
      <w:tr w:rsidR="00015ECC" w:rsidRPr="00736B1A" w14:paraId="1502E443" w14:textId="77777777" w:rsidTr="00183574">
        <w:tc>
          <w:tcPr>
            <w:tcW w:w="1288" w:type="pct"/>
            <w:shd w:val="clear" w:color="auto" w:fill="F3A492" w:themeFill="accent2" w:themeFillTint="99"/>
            <w:vAlign w:val="center"/>
          </w:tcPr>
          <w:p w14:paraId="236CD3F8" w14:textId="77777777" w:rsidR="00015ECC" w:rsidRPr="00736B1A" w:rsidRDefault="00015ECC" w:rsidP="006212D0">
            <w:pPr>
              <w:spacing w:line="259" w:lineRule="auto"/>
              <w:jc w:val="center"/>
              <w:rPr>
                <w:b/>
              </w:rPr>
            </w:pPr>
            <w:r w:rsidRPr="00736B1A">
              <w:rPr>
                <w:b/>
              </w:rPr>
              <w:t>Type d’établissement</w:t>
            </w:r>
          </w:p>
        </w:tc>
        <w:tc>
          <w:tcPr>
            <w:tcW w:w="1154" w:type="pct"/>
            <w:shd w:val="clear" w:color="auto" w:fill="F0B19C" w:themeFill="accent1" w:themeFillTint="66"/>
            <w:vAlign w:val="center"/>
          </w:tcPr>
          <w:p w14:paraId="210CA8B0" w14:textId="77777777" w:rsidR="00015ECC" w:rsidRPr="00736B1A" w:rsidRDefault="00015ECC" w:rsidP="006212D0">
            <w:pPr>
              <w:spacing w:line="259" w:lineRule="auto"/>
              <w:jc w:val="center"/>
              <w:rPr>
                <w:b/>
              </w:rPr>
            </w:pPr>
            <w:r w:rsidRPr="00736B1A">
              <w:rPr>
                <w:b/>
              </w:rPr>
              <w:t>% de demi-pensionnaires</w:t>
            </w:r>
          </w:p>
        </w:tc>
        <w:tc>
          <w:tcPr>
            <w:tcW w:w="1232" w:type="pct"/>
            <w:shd w:val="clear" w:color="auto" w:fill="F0B19C" w:themeFill="accent1" w:themeFillTint="66"/>
            <w:vAlign w:val="center"/>
          </w:tcPr>
          <w:p w14:paraId="7DB0285F" w14:textId="77777777" w:rsidR="00015ECC" w:rsidRPr="00736B1A" w:rsidRDefault="00015ECC" w:rsidP="006212D0">
            <w:pPr>
              <w:spacing w:line="259" w:lineRule="auto"/>
              <w:jc w:val="center"/>
              <w:rPr>
                <w:b/>
              </w:rPr>
            </w:pPr>
            <w:r w:rsidRPr="00736B1A">
              <w:rPr>
                <w:b/>
              </w:rPr>
              <w:t>Nombre de jours de service par an</w:t>
            </w:r>
          </w:p>
        </w:tc>
        <w:tc>
          <w:tcPr>
            <w:tcW w:w="1326" w:type="pct"/>
            <w:shd w:val="clear" w:color="auto" w:fill="F0B19C" w:themeFill="accent1" w:themeFillTint="66"/>
            <w:vAlign w:val="center"/>
          </w:tcPr>
          <w:p w14:paraId="6A09CCCE" w14:textId="77777777" w:rsidR="00015ECC" w:rsidRPr="00736B1A" w:rsidRDefault="00015ECC" w:rsidP="006212D0">
            <w:pPr>
              <w:spacing w:line="259" w:lineRule="auto"/>
              <w:jc w:val="center"/>
              <w:rPr>
                <w:b/>
              </w:rPr>
            </w:pPr>
            <w:r w:rsidRPr="00736B1A">
              <w:rPr>
                <w:b/>
              </w:rPr>
              <w:t>Production de déchets organiques</w:t>
            </w:r>
          </w:p>
        </w:tc>
      </w:tr>
      <w:tr w:rsidR="00015ECC" w:rsidRPr="00736B1A" w14:paraId="32D641B5" w14:textId="77777777" w:rsidTr="00183574">
        <w:tc>
          <w:tcPr>
            <w:tcW w:w="1288" w:type="pct"/>
            <w:shd w:val="clear" w:color="auto" w:fill="F0B19C" w:themeFill="accent1" w:themeFillTint="66"/>
            <w:vAlign w:val="center"/>
          </w:tcPr>
          <w:p w14:paraId="2AFBA79F" w14:textId="77777777" w:rsidR="00015ECC" w:rsidRPr="00736B1A" w:rsidRDefault="00015ECC" w:rsidP="006212D0">
            <w:pPr>
              <w:spacing w:line="259" w:lineRule="auto"/>
              <w:jc w:val="center"/>
              <w:rPr>
                <w:b/>
              </w:rPr>
            </w:pPr>
            <w:r w:rsidRPr="00736B1A">
              <w:rPr>
                <w:b/>
              </w:rPr>
              <w:t>Ecoles</w:t>
            </w:r>
          </w:p>
        </w:tc>
        <w:tc>
          <w:tcPr>
            <w:tcW w:w="1154" w:type="pct"/>
            <w:shd w:val="clear" w:color="auto" w:fill="auto"/>
            <w:vAlign w:val="center"/>
          </w:tcPr>
          <w:p w14:paraId="135A4AF8" w14:textId="77777777" w:rsidR="00015ECC" w:rsidRPr="00736B1A" w:rsidRDefault="00015ECC" w:rsidP="006212D0">
            <w:pPr>
              <w:spacing w:line="259" w:lineRule="auto"/>
              <w:jc w:val="center"/>
            </w:pPr>
            <w:r w:rsidRPr="00736B1A">
              <w:t>59%</w:t>
            </w:r>
          </w:p>
        </w:tc>
        <w:tc>
          <w:tcPr>
            <w:tcW w:w="1232" w:type="pct"/>
            <w:shd w:val="clear" w:color="auto" w:fill="auto"/>
            <w:vAlign w:val="center"/>
          </w:tcPr>
          <w:p w14:paraId="09FAB528" w14:textId="77777777" w:rsidR="00015ECC" w:rsidRPr="00736B1A" w:rsidRDefault="00015ECC" w:rsidP="006212D0">
            <w:pPr>
              <w:spacing w:line="259" w:lineRule="auto"/>
              <w:jc w:val="center"/>
            </w:pPr>
            <w:r w:rsidRPr="00736B1A">
              <w:t>144</w:t>
            </w:r>
          </w:p>
        </w:tc>
        <w:tc>
          <w:tcPr>
            <w:tcW w:w="1326" w:type="pct"/>
            <w:shd w:val="clear" w:color="auto" w:fill="auto"/>
            <w:vAlign w:val="center"/>
          </w:tcPr>
          <w:p w14:paraId="720487AF" w14:textId="77777777" w:rsidR="00015ECC" w:rsidRPr="00736B1A" w:rsidRDefault="00015ECC" w:rsidP="006212D0">
            <w:pPr>
              <w:spacing w:line="259" w:lineRule="auto"/>
              <w:jc w:val="center"/>
            </w:pPr>
            <w:r w:rsidRPr="00736B1A">
              <w:t>185 g/repas</w:t>
            </w:r>
          </w:p>
        </w:tc>
      </w:tr>
      <w:tr w:rsidR="00015ECC" w:rsidRPr="00736B1A" w14:paraId="03619CAF" w14:textId="77777777" w:rsidTr="00183574">
        <w:tc>
          <w:tcPr>
            <w:tcW w:w="1288" w:type="pct"/>
            <w:shd w:val="clear" w:color="auto" w:fill="F0B19C" w:themeFill="accent1" w:themeFillTint="66"/>
            <w:vAlign w:val="center"/>
          </w:tcPr>
          <w:p w14:paraId="60A37D6A" w14:textId="77777777" w:rsidR="00015ECC" w:rsidRPr="00736B1A" w:rsidRDefault="00015ECC" w:rsidP="006212D0">
            <w:pPr>
              <w:spacing w:line="259" w:lineRule="auto"/>
              <w:jc w:val="center"/>
              <w:rPr>
                <w:b/>
              </w:rPr>
            </w:pPr>
            <w:r w:rsidRPr="00736B1A">
              <w:rPr>
                <w:b/>
              </w:rPr>
              <w:t>Collège</w:t>
            </w:r>
          </w:p>
        </w:tc>
        <w:tc>
          <w:tcPr>
            <w:tcW w:w="1154" w:type="pct"/>
            <w:shd w:val="clear" w:color="auto" w:fill="auto"/>
            <w:vAlign w:val="center"/>
          </w:tcPr>
          <w:p w14:paraId="7B0F4257" w14:textId="77777777" w:rsidR="00015ECC" w:rsidRPr="00736B1A" w:rsidRDefault="00015ECC" w:rsidP="006212D0">
            <w:pPr>
              <w:spacing w:line="259" w:lineRule="auto"/>
              <w:jc w:val="center"/>
            </w:pPr>
            <w:r w:rsidRPr="00736B1A">
              <w:t>63%</w:t>
            </w:r>
          </w:p>
        </w:tc>
        <w:tc>
          <w:tcPr>
            <w:tcW w:w="1232" w:type="pct"/>
            <w:shd w:val="clear" w:color="auto" w:fill="auto"/>
            <w:vAlign w:val="center"/>
          </w:tcPr>
          <w:p w14:paraId="137106F5" w14:textId="77777777" w:rsidR="00015ECC" w:rsidRPr="00736B1A" w:rsidRDefault="00015ECC" w:rsidP="006212D0">
            <w:pPr>
              <w:spacing w:line="259" w:lineRule="auto"/>
              <w:jc w:val="center"/>
            </w:pPr>
            <w:r w:rsidRPr="00736B1A">
              <w:t>180</w:t>
            </w:r>
          </w:p>
        </w:tc>
        <w:tc>
          <w:tcPr>
            <w:tcW w:w="1326" w:type="pct"/>
            <w:shd w:val="clear" w:color="auto" w:fill="auto"/>
            <w:vAlign w:val="center"/>
          </w:tcPr>
          <w:p w14:paraId="7224A883" w14:textId="77777777" w:rsidR="00015ECC" w:rsidRPr="00736B1A" w:rsidRDefault="00015ECC" w:rsidP="006212D0">
            <w:pPr>
              <w:spacing w:line="259" w:lineRule="auto"/>
              <w:jc w:val="center"/>
            </w:pPr>
            <w:r w:rsidRPr="00736B1A">
              <w:t>280 g/repas</w:t>
            </w:r>
          </w:p>
        </w:tc>
      </w:tr>
      <w:tr w:rsidR="00015ECC" w:rsidRPr="00736B1A" w14:paraId="2C897D50" w14:textId="77777777" w:rsidTr="00183574">
        <w:tc>
          <w:tcPr>
            <w:tcW w:w="1288" w:type="pct"/>
            <w:shd w:val="clear" w:color="auto" w:fill="F0B19C" w:themeFill="accent1" w:themeFillTint="66"/>
            <w:vAlign w:val="center"/>
          </w:tcPr>
          <w:p w14:paraId="52C4990D" w14:textId="77777777" w:rsidR="00015ECC" w:rsidRPr="00736B1A" w:rsidRDefault="00015ECC" w:rsidP="006212D0">
            <w:pPr>
              <w:spacing w:line="259" w:lineRule="auto"/>
              <w:jc w:val="center"/>
              <w:rPr>
                <w:b/>
              </w:rPr>
            </w:pPr>
            <w:r w:rsidRPr="00736B1A">
              <w:rPr>
                <w:b/>
              </w:rPr>
              <w:t>Lycée</w:t>
            </w:r>
          </w:p>
        </w:tc>
        <w:tc>
          <w:tcPr>
            <w:tcW w:w="1154" w:type="pct"/>
            <w:shd w:val="clear" w:color="auto" w:fill="auto"/>
            <w:vAlign w:val="center"/>
          </w:tcPr>
          <w:p w14:paraId="5B305965" w14:textId="77777777" w:rsidR="00015ECC" w:rsidRPr="00736B1A" w:rsidRDefault="00015ECC" w:rsidP="006212D0">
            <w:pPr>
              <w:spacing w:line="259" w:lineRule="auto"/>
              <w:jc w:val="center"/>
            </w:pPr>
            <w:r w:rsidRPr="00736B1A">
              <w:t>63%</w:t>
            </w:r>
          </w:p>
        </w:tc>
        <w:tc>
          <w:tcPr>
            <w:tcW w:w="1232" w:type="pct"/>
            <w:shd w:val="clear" w:color="auto" w:fill="auto"/>
            <w:vAlign w:val="center"/>
          </w:tcPr>
          <w:p w14:paraId="68E25114" w14:textId="77777777" w:rsidR="00015ECC" w:rsidRPr="00736B1A" w:rsidRDefault="00015ECC" w:rsidP="006212D0">
            <w:pPr>
              <w:spacing w:line="259" w:lineRule="auto"/>
              <w:jc w:val="center"/>
            </w:pPr>
            <w:r w:rsidRPr="00736B1A">
              <w:t>180</w:t>
            </w:r>
          </w:p>
        </w:tc>
        <w:tc>
          <w:tcPr>
            <w:tcW w:w="1326" w:type="pct"/>
            <w:shd w:val="clear" w:color="auto" w:fill="auto"/>
            <w:vAlign w:val="center"/>
          </w:tcPr>
          <w:p w14:paraId="4D4D60DB" w14:textId="77777777" w:rsidR="00015ECC" w:rsidRPr="00736B1A" w:rsidRDefault="00015ECC" w:rsidP="006212D0">
            <w:pPr>
              <w:spacing w:line="259" w:lineRule="auto"/>
              <w:jc w:val="center"/>
            </w:pPr>
            <w:r w:rsidRPr="00736B1A">
              <w:t>280 g/repas</w:t>
            </w:r>
          </w:p>
        </w:tc>
      </w:tr>
    </w:tbl>
    <w:p w14:paraId="3199320A" w14:textId="77777777" w:rsidR="00015ECC" w:rsidRPr="00736B1A" w:rsidRDefault="00015ECC" w:rsidP="00015ECC">
      <w:pPr>
        <w:spacing w:line="259" w:lineRule="auto"/>
        <w:ind w:left="720"/>
        <w:jc w:val="left"/>
      </w:pPr>
    </w:p>
    <w:p w14:paraId="5D218A83" w14:textId="77777777" w:rsidR="00015ECC" w:rsidRPr="00736B1A" w:rsidRDefault="00015ECC" w:rsidP="008A0F26">
      <w:pPr>
        <w:numPr>
          <w:ilvl w:val="0"/>
          <w:numId w:val="12"/>
        </w:numPr>
        <w:spacing w:after="160" w:line="259" w:lineRule="auto"/>
      </w:pPr>
      <w:r w:rsidRPr="00736B1A">
        <w:rPr>
          <w:b/>
        </w:rPr>
        <w:t>Déchets verts </w:t>
      </w:r>
      <w:r w:rsidRPr="00736B1A">
        <w:t>: il s’agit d’habitation du type continental, soit la production de déchets organiques suivante : 52 kg/habitant par an</w:t>
      </w:r>
    </w:p>
    <w:p w14:paraId="6ACBBE78" w14:textId="77777777" w:rsidR="00015ECC" w:rsidRPr="00736B1A" w:rsidRDefault="00015ECC" w:rsidP="008A0F26">
      <w:pPr>
        <w:numPr>
          <w:ilvl w:val="0"/>
          <w:numId w:val="12"/>
        </w:numPr>
        <w:spacing w:after="160" w:line="259" w:lineRule="auto"/>
      </w:pPr>
      <w:r w:rsidRPr="00736B1A">
        <w:rPr>
          <w:b/>
        </w:rPr>
        <w:t>Ménages</w:t>
      </w:r>
      <w:r w:rsidRPr="00736B1A">
        <w:t xml:space="preserve"> : la quantité de FFOM produite dépend du nombre d’habitants par ménage et du type d’habitat </w:t>
      </w:r>
    </w:p>
    <w:tbl>
      <w:tblPr>
        <w:tblStyle w:val="Grilledutableau"/>
        <w:tblW w:w="5000" w:type="pct"/>
        <w:jc w:val="center"/>
        <w:tblLook w:val="04A0" w:firstRow="1" w:lastRow="0" w:firstColumn="1" w:lastColumn="0" w:noHBand="0" w:noVBand="1"/>
      </w:tblPr>
      <w:tblGrid>
        <w:gridCol w:w="4896"/>
        <w:gridCol w:w="5300"/>
      </w:tblGrid>
      <w:tr w:rsidR="00015ECC" w:rsidRPr="00736B1A" w14:paraId="1748480B" w14:textId="77777777" w:rsidTr="006212D0">
        <w:trPr>
          <w:jc w:val="center"/>
        </w:trPr>
        <w:tc>
          <w:tcPr>
            <w:tcW w:w="2401" w:type="pct"/>
            <w:shd w:val="clear" w:color="auto" w:fill="F0B19C" w:themeFill="accent1" w:themeFillTint="66"/>
            <w:vAlign w:val="center"/>
          </w:tcPr>
          <w:p w14:paraId="2556FD9A" w14:textId="77777777" w:rsidR="00015ECC" w:rsidRPr="00736B1A" w:rsidRDefault="00015ECC" w:rsidP="006212D0">
            <w:pPr>
              <w:spacing w:line="259" w:lineRule="auto"/>
              <w:jc w:val="center"/>
              <w:rPr>
                <w:b/>
              </w:rPr>
            </w:pPr>
            <w:r w:rsidRPr="00736B1A">
              <w:rPr>
                <w:b/>
              </w:rPr>
              <w:t>Habitat collectif</w:t>
            </w:r>
          </w:p>
        </w:tc>
        <w:tc>
          <w:tcPr>
            <w:tcW w:w="2599" w:type="pct"/>
            <w:shd w:val="clear" w:color="auto" w:fill="F0B19C" w:themeFill="accent1" w:themeFillTint="66"/>
            <w:vAlign w:val="center"/>
          </w:tcPr>
          <w:p w14:paraId="154BC81A" w14:textId="77777777" w:rsidR="00015ECC" w:rsidRPr="00736B1A" w:rsidRDefault="00015ECC" w:rsidP="006212D0">
            <w:pPr>
              <w:spacing w:line="259" w:lineRule="auto"/>
              <w:jc w:val="center"/>
              <w:rPr>
                <w:b/>
              </w:rPr>
            </w:pPr>
            <w:r w:rsidRPr="00736B1A">
              <w:rPr>
                <w:b/>
              </w:rPr>
              <w:t>Habitat individuel</w:t>
            </w:r>
          </w:p>
        </w:tc>
      </w:tr>
      <w:tr w:rsidR="00015ECC" w:rsidRPr="00736B1A" w14:paraId="0924A37A" w14:textId="77777777" w:rsidTr="00183574">
        <w:trPr>
          <w:jc w:val="center"/>
        </w:trPr>
        <w:tc>
          <w:tcPr>
            <w:tcW w:w="2401" w:type="pct"/>
            <w:shd w:val="clear" w:color="auto" w:fill="auto"/>
            <w:vAlign w:val="center"/>
          </w:tcPr>
          <w:p w14:paraId="4B00831F" w14:textId="77777777" w:rsidR="00015ECC" w:rsidRPr="00736B1A" w:rsidRDefault="00015ECC" w:rsidP="006212D0">
            <w:pPr>
              <w:spacing w:line="259" w:lineRule="auto"/>
              <w:jc w:val="center"/>
            </w:pPr>
            <w:r w:rsidRPr="00736B1A">
              <w:t>246 kg/habitant par an</w:t>
            </w:r>
          </w:p>
        </w:tc>
        <w:tc>
          <w:tcPr>
            <w:tcW w:w="2599" w:type="pct"/>
            <w:shd w:val="clear" w:color="auto" w:fill="auto"/>
            <w:vAlign w:val="center"/>
          </w:tcPr>
          <w:p w14:paraId="6DB30DC8" w14:textId="77777777" w:rsidR="00015ECC" w:rsidRPr="00736B1A" w:rsidRDefault="00015ECC" w:rsidP="006212D0">
            <w:pPr>
              <w:spacing w:line="259" w:lineRule="auto"/>
              <w:jc w:val="center"/>
            </w:pPr>
            <w:r w:rsidRPr="00736B1A">
              <w:t>38 kg/habitant par an</w:t>
            </w:r>
          </w:p>
        </w:tc>
      </w:tr>
    </w:tbl>
    <w:p w14:paraId="5DA02F7F" w14:textId="77777777" w:rsidR="00015ECC" w:rsidRPr="00736B1A" w:rsidRDefault="00015ECC" w:rsidP="00015ECC">
      <w:pPr>
        <w:spacing w:line="259" w:lineRule="auto"/>
        <w:jc w:val="left"/>
      </w:pPr>
      <w:r w:rsidRPr="00736B1A">
        <w:t xml:space="preserve"> </w:t>
      </w:r>
    </w:p>
    <w:p w14:paraId="654B1378" w14:textId="77777777" w:rsidR="00015ECC" w:rsidRPr="00F16BFD" w:rsidRDefault="00015ECC" w:rsidP="008A0F26">
      <w:pPr>
        <w:pStyle w:val="Paragraphedeliste"/>
        <w:numPr>
          <w:ilvl w:val="0"/>
          <w:numId w:val="12"/>
        </w:numPr>
        <w:spacing w:after="160" w:line="259" w:lineRule="auto"/>
        <w:jc w:val="left"/>
      </w:pPr>
      <w:r w:rsidRPr="00F16BFD">
        <w:rPr>
          <w:b/>
        </w:rPr>
        <w:t>STEU</w:t>
      </w:r>
      <w:r w:rsidRPr="00F16BFD">
        <w:t xml:space="preserve"> (Station de traitement des eaux usées) : les boues et graisses créées dépendent de la « charge entrante » (EH – Equivalent Habitant) d’eau dans la station</w:t>
      </w:r>
    </w:p>
    <w:tbl>
      <w:tblPr>
        <w:tblStyle w:val="Grilledutableau"/>
        <w:tblW w:w="5000" w:type="pct"/>
        <w:jc w:val="center"/>
        <w:tblLook w:val="04A0" w:firstRow="1" w:lastRow="0" w:firstColumn="1" w:lastColumn="0" w:noHBand="0" w:noVBand="1"/>
      </w:tblPr>
      <w:tblGrid>
        <w:gridCol w:w="4896"/>
        <w:gridCol w:w="5300"/>
      </w:tblGrid>
      <w:tr w:rsidR="00015ECC" w:rsidRPr="00736B1A" w14:paraId="4068D702" w14:textId="77777777" w:rsidTr="006212D0">
        <w:trPr>
          <w:jc w:val="center"/>
        </w:trPr>
        <w:tc>
          <w:tcPr>
            <w:tcW w:w="2401" w:type="pct"/>
            <w:shd w:val="clear" w:color="auto" w:fill="F0B19C" w:themeFill="accent1" w:themeFillTint="66"/>
            <w:vAlign w:val="center"/>
          </w:tcPr>
          <w:p w14:paraId="0C36D7DC" w14:textId="77777777" w:rsidR="00015ECC" w:rsidRPr="00736B1A" w:rsidRDefault="00015ECC" w:rsidP="006212D0">
            <w:pPr>
              <w:spacing w:line="259" w:lineRule="auto"/>
              <w:jc w:val="center"/>
              <w:rPr>
                <w:b/>
              </w:rPr>
            </w:pPr>
            <w:r w:rsidRPr="00736B1A">
              <w:rPr>
                <w:b/>
              </w:rPr>
              <w:t>Boues urbaines</w:t>
            </w:r>
          </w:p>
        </w:tc>
        <w:tc>
          <w:tcPr>
            <w:tcW w:w="2599" w:type="pct"/>
            <w:shd w:val="clear" w:color="auto" w:fill="F0B19C" w:themeFill="accent1" w:themeFillTint="66"/>
            <w:vAlign w:val="center"/>
          </w:tcPr>
          <w:p w14:paraId="2F03D0AA" w14:textId="77777777" w:rsidR="00015ECC" w:rsidRPr="00736B1A" w:rsidRDefault="00015ECC" w:rsidP="006212D0">
            <w:pPr>
              <w:spacing w:line="259" w:lineRule="auto"/>
              <w:jc w:val="center"/>
              <w:rPr>
                <w:b/>
              </w:rPr>
            </w:pPr>
            <w:r w:rsidRPr="00736B1A">
              <w:rPr>
                <w:b/>
              </w:rPr>
              <w:t>Graisses</w:t>
            </w:r>
          </w:p>
        </w:tc>
      </w:tr>
      <w:tr w:rsidR="00015ECC" w:rsidRPr="00D97581" w14:paraId="230F9387" w14:textId="77777777" w:rsidTr="00183574">
        <w:trPr>
          <w:jc w:val="center"/>
        </w:trPr>
        <w:tc>
          <w:tcPr>
            <w:tcW w:w="2401" w:type="pct"/>
            <w:shd w:val="clear" w:color="auto" w:fill="auto"/>
            <w:vAlign w:val="center"/>
          </w:tcPr>
          <w:p w14:paraId="110D4BFC" w14:textId="77777777" w:rsidR="00015ECC" w:rsidRPr="00736B1A" w:rsidRDefault="00015ECC" w:rsidP="006212D0">
            <w:pPr>
              <w:spacing w:line="259" w:lineRule="auto"/>
              <w:jc w:val="center"/>
            </w:pPr>
            <w:r w:rsidRPr="00736B1A">
              <w:t>11 g MS / EH / an</w:t>
            </w:r>
          </w:p>
        </w:tc>
        <w:tc>
          <w:tcPr>
            <w:tcW w:w="2599" w:type="pct"/>
            <w:shd w:val="clear" w:color="auto" w:fill="auto"/>
            <w:vAlign w:val="center"/>
          </w:tcPr>
          <w:p w14:paraId="4628B75F" w14:textId="77777777" w:rsidR="00015ECC" w:rsidRPr="00736B1A" w:rsidRDefault="00015ECC" w:rsidP="006212D0">
            <w:pPr>
              <w:spacing w:line="259" w:lineRule="auto"/>
              <w:jc w:val="center"/>
            </w:pPr>
            <w:r w:rsidRPr="00736B1A">
              <w:t>10 kg MB / EH / an</w:t>
            </w:r>
          </w:p>
        </w:tc>
      </w:tr>
    </w:tbl>
    <w:p w14:paraId="279B579E" w14:textId="77777777" w:rsidR="00015ECC" w:rsidRDefault="00015ECC" w:rsidP="00015ECC">
      <w:pPr>
        <w:spacing w:after="160" w:line="259" w:lineRule="auto"/>
        <w:jc w:val="left"/>
        <w:rPr>
          <w:highlight w:val="yellow"/>
        </w:rPr>
      </w:pPr>
    </w:p>
    <w:p w14:paraId="0D7D1D5F" w14:textId="77777777" w:rsidR="00015ECC" w:rsidRPr="00183574" w:rsidRDefault="00015ECC" w:rsidP="00183574">
      <w:pPr>
        <w:rPr>
          <w:rStyle w:val="Rfrencelgre"/>
        </w:rPr>
      </w:pPr>
      <w:r w:rsidRPr="00183574">
        <w:rPr>
          <w:rStyle w:val="Rfrencelgre"/>
        </w:rPr>
        <w:t>Résultats – Biogaz issu de méthanisation</w:t>
      </w:r>
    </w:p>
    <w:p w14:paraId="13DC783E" w14:textId="77777777" w:rsidR="00015ECC" w:rsidRPr="00B16F15" w:rsidRDefault="00015ECC" w:rsidP="00015ECC">
      <w:r w:rsidRPr="00B16F15">
        <w:lastRenderedPageBreak/>
        <w:t xml:space="preserve">Le détail du potentiel par commune </w:t>
      </w:r>
      <w:r>
        <w:t xml:space="preserve">n’est pas disponible car l’étude ayant permis le calcul du potentiel de production de biogaz a été réalisée à la maille de l’EPCI. </w:t>
      </w:r>
    </w:p>
    <w:p w14:paraId="0BFD94E1" w14:textId="77777777" w:rsidR="00015ECC" w:rsidRDefault="00015ECC" w:rsidP="00015ECC">
      <w:pPr>
        <w:spacing w:after="160" w:line="259" w:lineRule="auto"/>
        <w:jc w:val="left"/>
        <w:rPr>
          <w:highlight w:val="yellow"/>
        </w:rPr>
      </w:pPr>
    </w:p>
    <w:p w14:paraId="1A45319D" w14:textId="77777777" w:rsidR="00015ECC" w:rsidRPr="00260EF0" w:rsidRDefault="00015ECC" w:rsidP="00183574">
      <w:pPr>
        <w:rPr>
          <w:rStyle w:val="Rfrencelgre"/>
        </w:rPr>
      </w:pPr>
      <w:r w:rsidRPr="00260EF0">
        <w:rPr>
          <w:rStyle w:val="Rfrencelgre"/>
        </w:rPr>
        <w:t>Résultats – Récupération de chaleur fatale</w:t>
      </w:r>
    </w:p>
    <w:p w14:paraId="1FD87690" w14:textId="4656F540" w:rsidR="00015ECC" w:rsidRPr="00260EF0" w:rsidRDefault="00015ECC" w:rsidP="00015ECC">
      <w:r w:rsidRPr="00F01638">
        <w:t>Le détail du potenti</w:t>
      </w:r>
      <w:r w:rsidR="00260EF0">
        <w:t>el par commune est le suivant :</w:t>
      </w:r>
    </w:p>
    <w:tbl>
      <w:tblPr>
        <w:tblStyle w:val="AKAtab1"/>
        <w:tblW w:w="9067" w:type="dxa"/>
        <w:tblLook w:val="04A0" w:firstRow="1" w:lastRow="0" w:firstColumn="1" w:lastColumn="0" w:noHBand="0" w:noVBand="1"/>
      </w:tblPr>
      <w:tblGrid>
        <w:gridCol w:w="2547"/>
        <w:gridCol w:w="1984"/>
        <w:gridCol w:w="2410"/>
        <w:gridCol w:w="2126"/>
      </w:tblGrid>
      <w:tr w:rsidR="00015ECC" w:rsidRPr="00A76474" w14:paraId="3A85DA74" w14:textId="77777777" w:rsidTr="00260EF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E49263D" w14:textId="77777777" w:rsidR="00015ECC" w:rsidRDefault="00015ECC" w:rsidP="006212D0">
            <w:pPr>
              <w:jc w:val="left"/>
              <w:rPr>
                <w:rFonts w:eastAsia="Times New Roman" w:cs="Calibri"/>
                <w:b w:val="0"/>
                <w:bCs/>
                <w:color w:val="FFFFFF"/>
              </w:rPr>
            </w:pPr>
            <w:r w:rsidRPr="00A76474">
              <w:rPr>
                <w:rFonts w:eastAsia="Times New Roman" w:cs="Calibri"/>
                <w:b w:val="0"/>
                <w:bCs/>
                <w:color w:val="FFFFFF"/>
              </w:rPr>
              <w:t>Commune</w:t>
            </w:r>
          </w:p>
          <w:p w14:paraId="674CC747" w14:textId="77777777" w:rsidR="00015ECC" w:rsidRPr="00A76474" w:rsidRDefault="00015ECC" w:rsidP="006212D0">
            <w:pPr>
              <w:jc w:val="left"/>
              <w:rPr>
                <w:rFonts w:eastAsia="Times New Roman" w:cs="Calibri"/>
                <w:b w:val="0"/>
                <w:bCs/>
                <w:color w:val="FFFFFF"/>
              </w:rPr>
            </w:pPr>
          </w:p>
        </w:tc>
        <w:tc>
          <w:tcPr>
            <w:tcW w:w="1984" w:type="dxa"/>
            <w:noWrap/>
            <w:hideMark/>
          </w:tcPr>
          <w:p w14:paraId="0785D5D3" w14:textId="77777777" w:rsidR="00015ECC" w:rsidRPr="00A76474" w:rsidRDefault="00015ECC" w:rsidP="006212D0">
            <w:pPr>
              <w:jc w:val="left"/>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FFFFFF"/>
              </w:rPr>
            </w:pPr>
            <w:r w:rsidRPr="00A76474">
              <w:rPr>
                <w:rFonts w:eastAsia="Times New Roman" w:cs="Calibri"/>
                <w:b w:val="0"/>
                <w:bCs/>
                <w:color w:val="FFFFFF"/>
              </w:rPr>
              <w:t>Eaux Usées en Pieds d'Immeubles (BT) - Mini</w:t>
            </w:r>
          </w:p>
        </w:tc>
        <w:tc>
          <w:tcPr>
            <w:tcW w:w="2410" w:type="dxa"/>
            <w:noWrap/>
            <w:hideMark/>
          </w:tcPr>
          <w:p w14:paraId="3468A9C3" w14:textId="77777777" w:rsidR="00015ECC" w:rsidRPr="00A76474" w:rsidRDefault="00015ECC" w:rsidP="006212D0">
            <w:pPr>
              <w:jc w:val="left"/>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FFFFFF"/>
              </w:rPr>
            </w:pPr>
            <w:r w:rsidRPr="00A76474">
              <w:rPr>
                <w:rFonts w:eastAsia="Times New Roman" w:cs="Calibri"/>
                <w:b w:val="0"/>
                <w:bCs/>
                <w:color w:val="FFFFFF"/>
              </w:rPr>
              <w:t>Eaux Usées en Pieds d'Immeubles (BT) - Maxi</w:t>
            </w:r>
          </w:p>
        </w:tc>
        <w:tc>
          <w:tcPr>
            <w:tcW w:w="2126" w:type="dxa"/>
            <w:noWrap/>
            <w:hideMark/>
          </w:tcPr>
          <w:p w14:paraId="2E457AD4" w14:textId="77777777" w:rsidR="00015ECC" w:rsidRPr="00A76474" w:rsidRDefault="00015ECC" w:rsidP="006212D0">
            <w:pPr>
              <w:jc w:val="left"/>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FFFFFF"/>
              </w:rPr>
            </w:pPr>
            <w:r w:rsidRPr="00A76474">
              <w:rPr>
                <w:rFonts w:eastAsia="Times New Roman" w:cs="Calibri"/>
                <w:b w:val="0"/>
                <w:bCs/>
                <w:color w:val="FFFFFF"/>
              </w:rPr>
              <w:t>Stations de Traitement des Eaux Usées (BT)</w:t>
            </w:r>
          </w:p>
        </w:tc>
      </w:tr>
      <w:tr w:rsidR="00015ECC" w:rsidRPr="00A76474" w14:paraId="28A69EBA" w14:textId="77777777" w:rsidTr="00260E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C1A59E6" w14:textId="77777777" w:rsidR="00015ECC" w:rsidRPr="00A76474" w:rsidRDefault="00015ECC" w:rsidP="006212D0">
            <w:pPr>
              <w:jc w:val="left"/>
              <w:rPr>
                <w:rFonts w:eastAsia="Times New Roman" w:cs="Calibri"/>
              </w:rPr>
            </w:pPr>
            <w:r w:rsidRPr="00A76474">
              <w:rPr>
                <w:rFonts w:eastAsia="Times New Roman" w:cs="Calibri"/>
              </w:rPr>
              <w:t>Chevreuse</w:t>
            </w:r>
          </w:p>
        </w:tc>
        <w:tc>
          <w:tcPr>
            <w:tcW w:w="1984" w:type="dxa"/>
            <w:noWrap/>
            <w:hideMark/>
          </w:tcPr>
          <w:p w14:paraId="59F7AA83"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30 MWh</w:t>
            </w:r>
          </w:p>
        </w:tc>
        <w:tc>
          <w:tcPr>
            <w:tcW w:w="2410" w:type="dxa"/>
            <w:noWrap/>
            <w:hideMark/>
          </w:tcPr>
          <w:p w14:paraId="0D555B41"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85 MWh</w:t>
            </w:r>
          </w:p>
        </w:tc>
        <w:tc>
          <w:tcPr>
            <w:tcW w:w="2126" w:type="dxa"/>
            <w:noWrap/>
            <w:hideMark/>
          </w:tcPr>
          <w:p w14:paraId="1E9A832A"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474200D3" w14:textId="77777777" w:rsidTr="00260EF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1B240F74" w14:textId="77777777" w:rsidR="00015ECC" w:rsidRPr="00A76474" w:rsidRDefault="00015ECC" w:rsidP="006212D0">
            <w:pPr>
              <w:jc w:val="left"/>
              <w:rPr>
                <w:rFonts w:eastAsia="Times New Roman" w:cs="Calibri"/>
              </w:rPr>
            </w:pPr>
            <w:r w:rsidRPr="00A76474">
              <w:rPr>
                <w:rFonts w:eastAsia="Times New Roman" w:cs="Calibri"/>
              </w:rPr>
              <w:t>Choisel</w:t>
            </w:r>
          </w:p>
        </w:tc>
        <w:tc>
          <w:tcPr>
            <w:tcW w:w="1984" w:type="dxa"/>
            <w:noWrap/>
            <w:hideMark/>
          </w:tcPr>
          <w:p w14:paraId="51718C5D"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410" w:type="dxa"/>
            <w:noWrap/>
            <w:hideMark/>
          </w:tcPr>
          <w:p w14:paraId="0C22A09C"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126" w:type="dxa"/>
            <w:noWrap/>
            <w:hideMark/>
          </w:tcPr>
          <w:p w14:paraId="27782577"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54C9E1AF" w14:textId="77777777" w:rsidTr="00260E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A267A24" w14:textId="77777777" w:rsidR="00015ECC" w:rsidRPr="00A76474" w:rsidRDefault="00015ECC" w:rsidP="006212D0">
            <w:pPr>
              <w:jc w:val="left"/>
              <w:rPr>
                <w:rFonts w:eastAsia="Times New Roman" w:cs="Calibri"/>
              </w:rPr>
            </w:pPr>
            <w:r w:rsidRPr="00A76474">
              <w:rPr>
                <w:rFonts w:eastAsia="Times New Roman" w:cs="Calibri"/>
              </w:rPr>
              <w:t>Dampierre-en-Yvelines</w:t>
            </w:r>
          </w:p>
        </w:tc>
        <w:tc>
          <w:tcPr>
            <w:tcW w:w="1984" w:type="dxa"/>
            <w:noWrap/>
            <w:hideMark/>
          </w:tcPr>
          <w:p w14:paraId="4128889A"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410" w:type="dxa"/>
            <w:noWrap/>
            <w:hideMark/>
          </w:tcPr>
          <w:p w14:paraId="4B0D4766"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126" w:type="dxa"/>
            <w:noWrap/>
            <w:hideMark/>
          </w:tcPr>
          <w:p w14:paraId="5778EA85"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693F8CA8" w14:textId="77777777" w:rsidTr="00260EF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FE3C998" w14:textId="77777777" w:rsidR="00015ECC" w:rsidRPr="00A76474" w:rsidRDefault="00015ECC" w:rsidP="006212D0">
            <w:pPr>
              <w:jc w:val="left"/>
              <w:rPr>
                <w:rFonts w:eastAsia="Times New Roman" w:cs="Calibri"/>
              </w:rPr>
            </w:pPr>
            <w:r w:rsidRPr="00A76474">
              <w:rPr>
                <w:rFonts w:eastAsia="Times New Roman" w:cs="Calibri"/>
              </w:rPr>
              <w:t>Lévis-Saint-Nom</w:t>
            </w:r>
          </w:p>
        </w:tc>
        <w:tc>
          <w:tcPr>
            <w:tcW w:w="1984" w:type="dxa"/>
            <w:noWrap/>
            <w:hideMark/>
          </w:tcPr>
          <w:p w14:paraId="40B9AFF3"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410" w:type="dxa"/>
            <w:noWrap/>
            <w:hideMark/>
          </w:tcPr>
          <w:p w14:paraId="2E9FCE0D"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126" w:type="dxa"/>
            <w:noWrap/>
            <w:hideMark/>
          </w:tcPr>
          <w:p w14:paraId="43B09B38"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1 300 MWh</w:t>
            </w:r>
          </w:p>
        </w:tc>
      </w:tr>
      <w:tr w:rsidR="00015ECC" w:rsidRPr="00A76474" w14:paraId="6306592B" w14:textId="77777777" w:rsidTr="00260E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603F6A7" w14:textId="77777777" w:rsidR="00015ECC" w:rsidRPr="00A76474" w:rsidRDefault="00015ECC" w:rsidP="006212D0">
            <w:pPr>
              <w:jc w:val="left"/>
              <w:rPr>
                <w:rFonts w:eastAsia="Times New Roman" w:cs="Calibri"/>
              </w:rPr>
            </w:pPr>
            <w:r w:rsidRPr="00A76474">
              <w:rPr>
                <w:rFonts w:eastAsia="Times New Roman" w:cs="Calibri"/>
              </w:rPr>
              <w:t>Le Mesnil-Saint-Denis</w:t>
            </w:r>
          </w:p>
        </w:tc>
        <w:tc>
          <w:tcPr>
            <w:tcW w:w="1984" w:type="dxa"/>
            <w:noWrap/>
            <w:hideMark/>
          </w:tcPr>
          <w:p w14:paraId="211A348B"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30 MWh</w:t>
            </w:r>
          </w:p>
        </w:tc>
        <w:tc>
          <w:tcPr>
            <w:tcW w:w="2410" w:type="dxa"/>
            <w:noWrap/>
            <w:hideMark/>
          </w:tcPr>
          <w:p w14:paraId="055E841A"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85 MWh</w:t>
            </w:r>
          </w:p>
        </w:tc>
        <w:tc>
          <w:tcPr>
            <w:tcW w:w="2126" w:type="dxa"/>
            <w:noWrap/>
            <w:hideMark/>
          </w:tcPr>
          <w:p w14:paraId="15FE977D"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1 500 MWh</w:t>
            </w:r>
          </w:p>
        </w:tc>
      </w:tr>
      <w:tr w:rsidR="00015ECC" w:rsidRPr="00A76474" w14:paraId="35386112" w14:textId="77777777" w:rsidTr="00260EF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0597C0C2" w14:textId="77777777" w:rsidR="00015ECC" w:rsidRPr="00A76474" w:rsidRDefault="00015ECC" w:rsidP="006212D0">
            <w:pPr>
              <w:jc w:val="left"/>
              <w:rPr>
                <w:rFonts w:eastAsia="Times New Roman" w:cs="Calibri"/>
              </w:rPr>
            </w:pPr>
            <w:r w:rsidRPr="00A76474">
              <w:rPr>
                <w:rFonts w:eastAsia="Times New Roman" w:cs="Calibri"/>
              </w:rPr>
              <w:t>Milon-la-Chapelle</w:t>
            </w:r>
          </w:p>
        </w:tc>
        <w:tc>
          <w:tcPr>
            <w:tcW w:w="1984" w:type="dxa"/>
            <w:noWrap/>
            <w:hideMark/>
          </w:tcPr>
          <w:p w14:paraId="29CA88CD"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410" w:type="dxa"/>
            <w:noWrap/>
            <w:hideMark/>
          </w:tcPr>
          <w:p w14:paraId="59EEEE66"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126" w:type="dxa"/>
            <w:noWrap/>
            <w:hideMark/>
          </w:tcPr>
          <w:p w14:paraId="3E3C954C"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530CFF32" w14:textId="77777777" w:rsidTr="00260E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4EF0CEEC" w14:textId="77777777" w:rsidR="00015ECC" w:rsidRPr="00A76474" w:rsidRDefault="00015ECC" w:rsidP="006212D0">
            <w:pPr>
              <w:jc w:val="left"/>
              <w:rPr>
                <w:rFonts w:eastAsia="Times New Roman" w:cs="Calibri"/>
              </w:rPr>
            </w:pPr>
            <w:r w:rsidRPr="00A76474">
              <w:rPr>
                <w:rFonts w:eastAsia="Times New Roman" w:cs="Calibri"/>
              </w:rPr>
              <w:t>Saint-Forget</w:t>
            </w:r>
          </w:p>
        </w:tc>
        <w:tc>
          <w:tcPr>
            <w:tcW w:w="1984" w:type="dxa"/>
            <w:noWrap/>
            <w:hideMark/>
          </w:tcPr>
          <w:p w14:paraId="073F1658"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410" w:type="dxa"/>
            <w:noWrap/>
            <w:hideMark/>
          </w:tcPr>
          <w:p w14:paraId="1A48E2F2"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126" w:type="dxa"/>
            <w:noWrap/>
            <w:hideMark/>
          </w:tcPr>
          <w:p w14:paraId="7937217F"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5E5733BD" w14:textId="77777777" w:rsidTr="00260EF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34A6F6F5" w14:textId="77777777" w:rsidR="00015ECC" w:rsidRPr="00A76474" w:rsidRDefault="00015ECC" w:rsidP="006212D0">
            <w:pPr>
              <w:jc w:val="left"/>
              <w:rPr>
                <w:rFonts w:eastAsia="Times New Roman" w:cs="Calibri"/>
              </w:rPr>
            </w:pPr>
            <w:r w:rsidRPr="00A76474">
              <w:rPr>
                <w:rFonts w:eastAsia="Times New Roman" w:cs="Calibri"/>
              </w:rPr>
              <w:t>Saint-Lambert</w:t>
            </w:r>
          </w:p>
        </w:tc>
        <w:tc>
          <w:tcPr>
            <w:tcW w:w="1984" w:type="dxa"/>
            <w:noWrap/>
            <w:hideMark/>
          </w:tcPr>
          <w:p w14:paraId="045CEE06"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5 MWh</w:t>
            </w:r>
          </w:p>
        </w:tc>
        <w:tc>
          <w:tcPr>
            <w:tcW w:w="2410" w:type="dxa"/>
            <w:noWrap/>
            <w:hideMark/>
          </w:tcPr>
          <w:p w14:paraId="7C24078F"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25 MWh</w:t>
            </w:r>
          </w:p>
        </w:tc>
        <w:tc>
          <w:tcPr>
            <w:tcW w:w="2126" w:type="dxa"/>
            <w:noWrap/>
            <w:hideMark/>
          </w:tcPr>
          <w:p w14:paraId="0D42FFAC"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4BE9E04E" w14:textId="77777777" w:rsidTr="00260E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5268B3B9" w14:textId="77777777" w:rsidR="00015ECC" w:rsidRPr="00A76474" w:rsidRDefault="00015ECC" w:rsidP="006212D0">
            <w:pPr>
              <w:jc w:val="left"/>
              <w:rPr>
                <w:rFonts w:eastAsia="Times New Roman" w:cs="Calibri"/>
              </w:rPr>
            </w:pPr>
            <w:r w:rsidRPr="00A76474">
              <w:rPr>
                <w:rFonts w:eastAsia="Times New Roman" w:cs="Calibri"/>
              </w:rPr>
              <w:t>Saint-Rémy-lès-Chevreuse</w:t>
            </w:r>
          </w:p>
        </w:tc>
        <w:tc>
          <w:tcPr>
            <w:tcW w:w="1984" w:type="dxa"/>
            <w:noWrap/>
            <w:hideMark/>
          </w:tcPr>
          <w:p w14:paraId="15C3A6C9"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30 MWh</w:t>
            </w:r>
          </w:p>
        </w:tc>
        <w:tc>
          <w:tcPr>
            <w:tcW w:w="2410" w:type="dxa"/>
            <w:noWrap/>
            <w:hideMark/>
          </w:tcPr>
          <w:p w14:paraId="0DE23A0D"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85 MWh</w:t>
            </w:r>
          </w:p>
        </w:tc>
        <w:tc>
          <w:tcPr>
            <w:tcW w:w="2126" w:type="dxa"/>
            <w:noWrap/>
            <w:hideMark/>
          </w:tcPr>
          <w:p w14:paraId="3AD9ADB6"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57E83F79" w14:textId="77777777" w:rsidTr="00260EF0">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664EEB39" w14:textId="77777777" w:rsidR="00015ECC" w:rsidRPr="00A76474" w:rsidRDefault="00015ECC" w:rsidP="006212D0">
            <w:pPr>
              <w:jc w:val="left"/>
              <w:rPr>
                <w:rFonts w:eastAsia="Times New Roman" w:cs="Calibri"/>
              </w:rPr>
            </w:pPr>
            <w:r w:rsidRPr="00A76474">
              <w:rPr>
                <w:rFonts w:eastAsia="Times New Roman" w:cs="Calibri"/>
              </w:rPr>
              <w:t>Senlisse</w:t>
            </w:r>
          </w:p>
        </w:tc>
        <w:tc>
          <w:tcPr>
            <w:tcW w:w="1984" w:type="dxa"/>
            <w:noWrap/>
            <w:hideMark/>
          </w:tcPr>
          <w:p w14:paraId="7CA2D035"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410" w:type="dxa"/>
            <w:noWrap/>
            <w:hideMark/>
          </w:tcPr>
          <w:p w14:paraId="0D1A6DAE"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c>
          <w:tcPr>
            <w:tcW w:w="2126" w:type="dxa"/>
            <w:noWrap/>
            <w:hideMark/>
          </w:tcPr>
          <w:p w14:paraId="49EE5964" w14:textId="77777777" w:rsidR="00015ECC" w:rsidRPr="00A76474" w:rsidRDefault="00015ECC" w:rsidP="006212D0">
            <w:pPr>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rPr>
            </w:pPr>
            <w:r w:rsidRPr="00A76474">
              <w:rPr>
                <w:rFonts w:eastAsia="Times New Roman" w:cs="Calibri"/>
                <w:color w:val="000000"/>
              </w:rPr>
              <w:t>0 MWh</w:t>
            </w:r>
          </w:p>
        </w:tc>
      </w:tr>
      <w:tr w:rsidR="00015ECC" w:rsidRPr="00A76474" w14:paraId="257A5376" w14:textId="77777777" w:rsidTr="00260EF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7" w:type="dxa"/>
            <w:noWrap/>
            <w:hideMark/>
          </w:tcPr>
          <w:p w14:paraId="03D7DF40" w14:textId="77777777" w:rsidR="00015ECC" w:rsidRPr="00A76474" w:rsidRDefault="00015ECC" w:rsidP="006212D0">
            <w:pPr>
              <w:jc w:val="left"/>
              <w:rPr>
                <w:rFonts w:eastAsia="Times New Roman" w:cs="Calibri"/>
              </w:rPr>
            </w:pPr>
            <w:r w:rsidRPr="00A76474">
              <w:rPr>
                <w:rFonts w:eastAsia="Times New Roman" w:cs="Calibri"/>
              </w:rPr>
              <w:t>TOTAL</w:t>
            </w:r>
          </w:p>
        </w:tc>
        <w:tc>
          <w:tcPr>
            <w:tcW w:w="1984" w:type="dxa"/>
            <w:noWrap/>
            <w:hideMark/>
          </w:tcPr>
          <w:p w14:paraId="0B9C4902"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95 MWh</w:t>
            </w:r>
          </w:p>
        </w:tc>
        <w:tc>
          <w:tcPr>
            <w:tcW w:w="2410" w:type="dxa"/>
            <w:noWrap/>
            <w:hideMark/>
          </w:tcPr>
          <w:p w14:paraId="05A99265"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280 MWh</w:t>
            </w:r>
          </w:p>
        </w:tc>
        <w:tc>
          <w:tcPr>
            <w:tcW w:w="2126" w:type="dxa"/>
            <w:noWrap/>
            <w:hideMark/>
          </w:tcPr>
          <w:p w14:paraId="5561D6CD" w14:textId="77777777" w:rsidR="00015ECC" w:rsidRPr="00A76474" w:rsidRDefault="00015ECC" w:rsidP="006212D0">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A76474">
              <w:rPr>
                <w:rFonts w:eastAsia="Times New Roman" w:cs="Calibri"/>
                <w:color w:val="000000"/>
              </w:rPr>
              <w:t>2 800 MWh</w:t>
            </w:r>
          </w:p>
        </w:tc>
      </w:tr>
    </w:tbl>
    <w:p w14:paraId="3763FB68" w14:textId="77777777" w:rsidR="00B7744E" w:rsidRDefault="00B7744E" w:rsidP="00B7744E"/>
    <w:p w14:paraId="110B75C4" w14:textId="7FB187B0" w:rsidR="00260EF0" w:rsidRDefault="00260EF0">
      <w:pPr>
        <w:spacing w:after="200" w:line="276" w:lineRule="auto"/>
        <w:jc w:val="left"/>
      </w:pPr>
      <w:r>
        <w:br w:type="page"/>
      </w:r>
    </w:p>
    <w:p w14:paraId="58AF6093" w14:textId="60C2AD4C" w:rsidR="00260EF0" w:rsidRDefault="00260EF0" w:rsidP="00260EF0">
      <w:pPr>
        <w:pStyle w:val="Sous-titre"/>
      </w:pPr>
      <w:r>
        <w:lastRenderedPageBreak/>
        <w:t>Table des figures</w:t>
      </w:r>
    </w:p>
    <w:p w14:paraId="5CE2225F" w14:textId="183B55DE" w:rsidR="005732C6" w:rsidRDefault="00260EF0">
      <w:pPr>
        <w:pStyle w:val="Tabledesillustrations"/>
        <w:tabs>
          <w:tab w:val="right" w:leader="dot" w:pos="10196"/>
        </w:tabs>
        <w:rPr>
          <w:noProof/>
        </w:rPr>
      </w:pPr>
      <w:r>
        <w:fldChar w:fldCharType="begin"/>
      </w:r>
      <w:r>
        <w:instrText xml:space="preserve"> TOC \c "Figure" </w:instrText>
      </w:r>
      <w:r>
        <w:fldChar w:fldCharType="separate"/>
      </w:r>
      <w:r w:rsidR="005732C6">
        <w:rPr>
          <w:noProof/>
        </w:rPr>
        <w:t>Figure 1 : Territoire de la Communauté de Communes de la Haute Vallée de Chevreuse</w:t>
      </w:r>
      <w:r w:rsidR="005732C6">
        <w:rPr>
          <w:noProof/>
        </w:rPr>
        <w:tab/>
      </w:r>
      <w:r w:rsidR="005732C6">
        <w:rPr>
          <w:noProof/>
        </w:rPr>
        <w:fldChar w:fldCharType="begin"/>
      </w:r>
      <w:r w:rsidR="005732C6">
        <w:rPr>
          <w:noProof/>
        </w:rPr>
        <w:instrText xml:space="preserve"> PAGEREF _Toc129786555 \h </w:instrText>
      </w:r>
      <w:r w:rsidR="005732C6">
        <w:rPr>
          <w:noProof/>
        </w:rPr>
      </w:r>
      <w:r w:rsidR="005732C6">
        <w:rPr>
          <w:noProof/>
        </w:rPr>
        <w:fldChar w:fldCharType="separate"/>
      </w:r>
      <w:r w:rsidR="005732C6">
        <w:rPr>
          <w:noProof/>
        </w:rPr>
        <w:t>5</w:t>
      </w:r>
      <w:r w:rsidR="005732C6">
        <w:rPr>
          <w:noProof/>
        </w:rPr>
        <w:fldChar w:fldCharType="end"/>
      </w:r>
    </w:p>
    <w:p w14:paraId="6A4D7FB5" w14:textId="3D486B9D" w:rsidR="005732C6" w:rsidRDefault="005732C6">
      <w:pPr>
        <w:pStyle w:val="Tabledesillustrations"/>
        <w:tabs>
          <w:tab w:val="right" w:leader="dot" w:pos="10196"/>
        </w:tabs>
        <w:rPr>
          <w:noProof/>
        </w:rPr>
      </w:pPr>
      <w:r>
        <w:rPr>
          <w:noProof/>
        </w:rPr>
        <w:t>Figure 2 : Répartition des consommations par vecteur énergétique</w:t>
      </w:r>
      <w:r>
        <w:rPr>
          <w:noProof/>
        </w:rPr>
        <w:tab/>
      </w:r>
      <w:r>
        <w:rPr>
          <w:noProof/>
        </w:rPr>
        <w:fldChar w:fldCharType="begin"/>
      </w:r>
      <w:r>
        <w:rPr>
          <w:noProof/>
        </w:rPr>
        <w:instrText xml:space="preserve"> PAGEREF _Toc129786556 \h </w:instrText>
      </w:r>
      <w:r>
        <w:rPr>
          <w:noProof/>
        </w:rPr>
      </w:r>
      <w:r>
        <w:rPr>
          <w:noProof/>
        </w:rPr>
        <w:fldChar w:fldCharType="separate"/>
      </w:r>
      <w:r>
        <w:rPr>
          <w:noProof/>
        </w:rPr>
        <w:t>9</w:t>
      </w:r>
      <w:r>
        <w:rPr>
          <w:noProof/>
        </w:rPr>
        <w:fldChar w:fldCharType="end"/>
      </w:r>
    </w:p>
    <w:p w14:paraId="3A2943DB" w14:textId="424105C1" w:rsidR="005732C6" w:rsidRDefault="005732C6">
      <w:pPr>
        <w:pStyle w:val="Tabledesillustrations"/>
        <w:tabs>
          <w:tab w:val="right" w:leader="dot" w:pos="10196"/>
        </w:tabs>
        <w:rPr>
          <w:noProof/>
        </w:rPr>
      </w:pPr>
      <w:r>
        <w:rPr>
          <w:noProof/>
        </w:rPr>
        <w:t>Figure 3 : Répartition des consommations par commune et par énergie</w:t>
      </w:r>
      <w:r>
        <w:rPr>
          <w:noProof/>
        </w:rPr>
        <w:tab/>
      </w:r>
      <w:r>
        <w:rPr>
          <w:noProof/>
        </w:rPr>
        <w:fldChar w:fldCharType="begin"/>
      </w:r>
      <w:r>
        <w:rPr>
          <w:noProof/>
        </w:rPr>
        <w:instrText xml:space="preserve"> PAGEREF _Toc129786557 \h </w:instrText>
      </w:r>
      <w:r>
        <w:rPr>
          <w:noProof/>
        </w:rPr>
      </w:r>
      <w:r>
        <w:rPr>
          <w:noProof/>
        </w:rPr>
        <w:fldChar w:fldCharType="separate"/>
      </w:r>
      <w:r>
        <w:rPr>
          <w:noProof/>
        </w:rPr>
        <w:t>10</w:t>
      </w:r>
      <w:r>
        <w:rPr>
          <w:noProof/>
        </w:rPr>
        <w:fldChar w:fldCharType="end"/>
      </w:r>
    </w:p>
    <w:p w14:paraId="5C1D011F" w14:textId="0A920B68" w:rsidR="005732C6" w:rsidRDefault="005732C6">
      <w:pPr>
        <w:pStyle w:val="Tabledesillustrations"/>
        <w:tabs>
          <w:tab w:val="right" w:leader="dot" w:pos="10196"/>
        </w:tabs>
        <w:rPr>
          <w:noProof/>
        </w:rPr>
      </w:pPr>
      <w:r>
        <w:rPr>
          <w:noProof/>
        </w:rPr>
        <w:t>Figure 4 : Répartition des consommations par secteur</w:t>
      </w:r>
      <w:r>
        <w:rPr>
          <w:noProof/>
        </w:rPr>
        <w:tab/>
      </w:r>
      <w:r>
        <w:rPr>
          <w:noProof/>
        </w:rPr>
        <w:fldChar w:fldCharType="begin"/>
      </w:r>
      <w:r>
        <w:rPr>
          <w:noProof/>
        </w:rPr>
        <w:instrText xml:space="preserve"> PAGEREF _Toc129786558 \h </w:instrText>
      </w:r>
      <w:r>
        <w:rPr>
          <w:noProof/>
        </w:rPr>
      </w:r>
      <w:r>
        <w:rPr>
          <w:noProof/>
        </w:rPr>
        <w:fldChar w:fldCharType="separate"/>
      </w:r>
      <w:r>
        <w:rPr>
          <w:noProof/>
        </w:rPr>
        <w:t>11</w:t>
      </w:r>
      <w:r>
        <w:rPr>
          <w:noProof/>
        </w:rPr>
        <w:fldChar w:fldCharType="end"/>
      </w:r>
    </w:p>
    <w:p w14:paraId="5FC0F6EC" w14:textId="4F6CAA34" w:rsidR="005732C6" w:rsidRDefault="005732C6">
      <w:pPr>
        <w:pStyle w:val="Tabledesillustrations"/>
        <w:tabs>
          <w:tab w:val="right" w:leader="dot" w:pos="10196"/>
        </w:tabs>
        <w:rPr>
          <w:noProof/>
        </w:rPr>
      </w:pPr>
      <w:r>
        <w:rPr>
          <w:noProof/>
        </w:rPr>
        <w:t>Figure 5 :  Répartition des consommations d'énergie par commune et par secteur</w:t>
      </w:r>
      <w:r>
        <w:rPr>
          <w:noProof/>
        </w:rPr>
        <w:tab/>
      </w:r>
      <w:r>
        <w:rPr>
          <w:noProof/>
        </w:rPr>
        <w:fldChar w:fldCharType="begin"/>
      </w:r>
      <w:r>
        <w:rPr>
          <w:noProof/>
        </w:rPr>
        <w:instrText xml:space="preserve"> PAGEREF _Toc129786559 \h </w:instrText>
      </w:r>
      <w:r>
        <w:rPr>
          <w:noProof/>
        </w:rPr>
      </w:r>
      <w:r>
        <w:rPr>
          <w:noProof/>
        </w:rPr>
        <w:fldChar w:fldCharType="separate"/>
      </w:r>
      <w:r>
        <w:rPr>
          <w:noProof/>
        </w:rPr>
        <w:t>11</w:t>
      </w:r>
      <w:r>
        <w:rPr>
          <w:noProof/>
        </w:rPr>
        <w:fldChar w:fldCharType="end"/>
      </w:r>
    </w:p>
    <w:p w14:paraId="08CDB4D2" w14:textId="79284709" w:rsidR="005732C6" w:rsidRDefault="005732C6">
      <w:pPr>
        <w:pStyle w:val="Tabledesillustrations"/>
        <w:tabs>
          <w:tab w:val="right" w:leader="dot" w:pos="10196"/>
        </w:tabs>
        <w:rPr>
          <w:noProof/>
        </w:rPr>
      </w:pPr>
      <w:r>
        <w:rPr>
          <w:noProof/>
        </w:rPr>
        <w:t>Figure 6 :  Répartition des consommations d'énergie par commune et par secteur</w:t>
      </w:r>
      <w:r>
        <w:rPr>
          <w:noProof/>
        </w:rPr>
        <w:tab/>
      </w:r>
      <w:r>
        <w:rPr>
          <w:noProof/>
        </w:rPr>
        <w:fldChar w:fldCharType="begin"/>
      </w:r>
      <w:r>
        <w:rPr>
          <w:noProof/>
        </w:rPr>
        <w:instrText xml:space="preserve"> PAGEREF _Toc129786560 \h </w:instrText>
      </w:r>
      <w:r>
        <w:rPr>
          <w:noProof/>
        </w:rPr>
      </w:r>
      <w:r>
        <w:rPr>
          <w:noProof/>
        </w:rPr>
        <w:fldChar w:fldCharType="separate"/>
      </w:r>
      <w:r>
        <w:rPr>
          <w:noProof/>
        </w:rPr>
        <w:t>12</w:t>
      </w:r>
      <w:r>
        <w:rPr>
          <w:noProof/>
        </w:rPr>
        <w:fldChar w:fldCharType="end"/>
      </w:r>
    </w:p>
    <w:p w14:paraId="569EA425" w14:textId="6F668550" w:rsidR="005732C6" w:rsidRDefault="005732C6">
      <w:pPr>
        <w:pStyle w:val="Tabledesillustrations"/>
        <w:tabs>
          <w:tab w:val="right" w:leader="dot" w:pos="10196"/>
        </w:tabs>
        <w:rPr>
          <w:noProof/>
        </w:rPr>
      </w:pPr>
      <w:r>
        <w:rPr>
          <w:noProof/>
        </w:rPr>
        <w:t>Figure 7 : Répartition des consommations par secteur et par énergie</w:t>
      </w:r>
      <w:r>
        <w:rPr>
          <w:noProof/>
        </w:rPr>
        <w:tab/>
      </w:r>
      <w:r>
        <w:rPr>
          <w:noProof/>
        </w:rPr>
        <w:fldChar w:fldCharType="begin"/>
      </w:r>
      <w:r>
        <w:rPr>
          <w:noProof/>
        </w:rPr>
        <w:instrText xml:space="preserve"> PAGEREF _Toc129786561 \h </w:instrText>
      </w:r>
      <w:r>
        <w:rPr>
          <w:noProof/>
        </w:rPr>
      </w:r>
      <w:r>
        <w:rPr>
          <w:noProof/>
        </w:rPr>
        <w:fldChar w:fldCharType="separate"/>
      </w:r>
      <w:r>
        <w:rPr>
          <w:noProof/>
        </w:rPr>
        <w:t>13</w:t>
      </w:r>
      <w:r>
        <w:rPr>
          <w:noProof/>
        </w:rPr>
        <w:fldChar w:fldCharType="end"/>
      </w:r>
    </w:p>
    <w:p w14:paraId="1F0C00B3" w14:textId="300411E7" w:rsidR="005732C6" w:rsidRDefault="005732C6">
      <w:pPr>
        <w:pStyle w:val="Tabledesillustrations"/>
        <w:tabs>
          <w:tab w:val="right" w:leader="dot" w:pos="10196"/>
        </w:tabs>
        <w:rPr>
          <w:noProof/>
        </w:rPr>
      </w:pPr>
      <w:r>
        <w:rPr>
          <w:noProof/>
        </w:rPr>
        <w:t>Figure 8 : Répartition de la consommation d'électricité par secteur</w:t>
      </w:r>
      <w:r>
        <w:rPr>
          <w:noProof/>
        </w:rPr>
        <w:tab/>
      </w:r>
      <w:r>
        <w:rPr>
          <w:noProof/>
        </w:rPr>
        <w:fldChar w:fldCharType="begin"/>
      </w:r>
      <w:r>
        <w:rPr>
          <w:noProof/>
        </w:rPr>
        <w:instrText xml:space="preserve"> PAGEREF _Toc129786562 \h </w:instrText>
      </w:r>
      <w:r>
        <w:rPr>
          <w:noProof/>
        </w:rPr>
      </w:r>
      <w:r>
        <w:rPr>
          <w:noProof/>
        </w:rPr>
        <w:fldChar w:fldCharType="separate"/>
      </w:r>
      <w:r>
        <w:rPr>
          <w:noProof/>
        </w:rPr>
        <w:t>14</w:t>
      </w:r>
      <w:r>
        <w:rPr>
          <w:noProof/>
        </w:rPr>
        <w:fldChar w:fldCharType="end"/>
      </w:r>
    </w:p>
    <w:p w14:paraId="2A83A407" w14:textId="79D05B10" w:rsidR="005732C6" w:rsidRDefault="005732C6">
      <w:pPr>
        <w:pStyle w:val="Tabledesillustrations"/>
        <w:tabs>
          <w:tab w:val="right" w:leader="dot" w:pos="10196"/>
        </w:tabs>
        <w:rPr>
          <w:noProof/>
        </w:rPr>
      </w:pPr>
      <w:r>
        <w:rPr>
          <w:noProof/>
        </w:rPr>
        <w:t>Figure 9 : Répartition des consommations électriques par secteur et par commune</w:t>
      </w:r>
      <w:r>
        <w:rPr>
          <w:noProof/>
        </w:rPr>
        <w:tab/>
      </w:r>
      <w:r>
        <w:rPr>
          <w:noProof/>
        </w:rPr>
        <w:fldChar w:fldCharType="begin"/>
      </w:r>
      <w:r>
        <w:rPr>
          <w:noProof/>
        </w:rPr>
        <w:instrText xml:space="preserve"> PAGEREF _Toc129786563 \h </w:instrText>
      </w:r>
      <w:r>
        <w:rPr>
          <w:noProof/>
        </w:rPr>
      </w:r>
      <w:r>
        <w:rPr>
          <w:noProof/>
        </w:rPr>
        <w:fldChar w:fldCharType="separate"/>
      </w:r>
      <w:r>
        <w:rPr>
          <w:noProof/>
        </w:rPr>
        <w:t>14</w:t>
      </w:r>
      <w:r>
        <w:rPr>
          <w:noProof/>
        </w:rPr>
        <w:fldChar w:fldCharType="end"/>
      </w:r>
    </w:p>
    <w:p w14:paraId="17386195" w14:textId="028F2359" w:rsidR="005732C6" w:rsidRDefault="005732C6">
      <w:pPr>
        <w:pStyle w:val="Tabledesillustrations"/>
        <w:tabs>
          <w:tab w:val="right" w:leader="dot" w:pos="10196"/>
        </w:tabs>
        <w:rPr>
          <w:noProof/>
        </w:rPr>
      </w:pPr>
      <w:r>
        <w:rPr>
          <w:noProof/>
        </w:rPr>
        <w:t>Figure 10 : Répartition de la consommation de gaz par secteur</w:t>
      </w:r>
      <w:r>
        <w:rPr>
          <w:noProof/>
        </w:rPr>
        <w:tab/>
      </w:r>
      <w:r>
        <w:rPr>
          <w:noProof/>
        </w:rPr>
        <w:fldChar w:fldCharType="begin"/>
      </w:r>
      <w:r>
        <w:rPr>
          <w:noProof/>
        </w:rPr>
        <w:instrText xml:space="preserve"> PAGEREF _Toc129786564 \h </w:instrText>
      </w:r>
      <w:r>
        <w:rPr>
          <w:noProof/>
        </w:rPr>
      </w:r>
      <w:r>
        <w:rPr>
          <w:noProof/>
        </w:rPr>
        <w:fldChar w:fldCharType="separate"/>
      </w:r>
      <w:r>
        <w:rPr>
          <w:noProof/>
        </w:rPr>
        <w:t>15</w:t>
      </w:r>
      <w:r>
        <w:rPr>
          <w:noProof/>
        </w:rPr>
        <w:fldChar w:fldCharType="end"/>
      </w:r>
    </w:p>
    <w:p w14:paraId="69045E14" w14:textId="315687FE" w:rsidR="005732C6" w:rsidRDefault="005732C6">
      <w:pPr>
        <w:pStyle w:val="Tabledesillustrations"/>
        <w:tabs>
          <w:tab w:val="right" w:leader="dot" w:pos="10196"/>
        </w:tabs>
        <w:rPr>
          <w:noProof/>
        </w:rPr>
      </w:pPr>
      <w:r>
        <w:rPr>
          <w:noProof/>
        </w:rPr>
        <w:t>Figure 11 : Répartition de la consommation de gaz par secteur et par commune</w:t>
      </w:r>
      <w:r>
        <w:rPr>
          <w:noProof/>
        </w:rPr>
        <w:tab/>
      </w:r>
      <w:r>
        <w:rPr>
          <w:noProof/>
        </w:rPr>
        <w:fldChar w:fldCharType="begin"/>
      </w:r>
      <w:r>
        <w:rPr>
          <w:noProof/>
        </w:rPr>
        <w:instrText xml:space="preserve"> PAGEREF _Toc129786565 \h </w:instrText>
      </w:r>
      <w:r>
        <w:rPr>
          <w:noProof/>
        </w:rPr>
      </w:r>
      <w:r>
        <w:rPr>
          <w:noProof/>
        </w:rPr>
        <w:fldChar w:fldCharType="separate"/>
      </w:r>
      <w:r>
        <w:rPr>
          <w:noProof/>
        </w:rPr>
        <w:t>16</w:t>
      </w:r>
      <w:r>
        <w:rPr>
          <w:noProof/>
        </w:rPr>
        <w:fldChar w:fldCharType="end"/>
      </w:r>
    </w:p>
    <w:p w14:paraId="679A1402" w14:textId="696338CB" w:rsidR="005732C6" w:rsidRDefault="005732C6">
      <w:pPr>
        <w:pStyle w:val="Tabledesillustrations"/>
        <w:tabs>
          <w:tab w:val="right" w:leader="dot" w:pos="10196"/>
        </w:tabs>
        <w:rPr>
          <w:noProof/>
        </w:rPr>
      </w:pPr>
      <w:r>
        <w:rPr>
          <w:noProof/>
        </w:rPr>
        <w:t>Figure 12 : Consommation par secteur et par habitant</w:t>
      </w:r>
      <w:r>
        <w:rPr>
          <w:noProof/>
        </w:rPr>
        <w:tab/>
      </w:r>
      <w:r>
        <w:rPr>
          <w:noProof/>
        </w:rPr>
        <w:fldChar w:fldCharType="begin"/>
      </w:r>
      <w:r>
        <w:rPr>
          <w:noProof/>
        </w:rPr>
        <w:instrText xml:space="preserve"> PAGEREF _Toc129786566 \h </w:instrText>
      </w:r>
      <w:r>
        <w:rPr>
          <w:noProof/>
        </w:rPr>
      </w:r>
      <w:r>
        <w:rPr>
          <w:noProof/>
        </w:rPr>
        <w:fldChar w:fldCharType="separate"/>
      </w:r>
      <w:r>
        <w:rPr>
          <w:noProof/>
        </w:rPr>
        <w:t>16</w:t>
      </w:r>
      <w:r>
        <w:rPr>
          <w:noProof/>
        </w:rPr>
        <w:fldChar w:fldCharType="end"/>
      </w:r>
    </w:p>
    <w:p w14:paraId="1CFE7C67" w14:textId="55868465" w:rsidR="005732C6" w:rsidRDefault="005732C6">
      <w:pPr>
        <w:pStyle w:val="Tabledesillustrations"/>
        <w:tabs>
          <w:tab w:val="right" w:leader="dot" w:pos="10196"/>
        </w:tabs>
        <w:rPr>
          <w:noProof/>
        </w:rPr>
      </w:pPr>
      <w:r>
        <w:rPr>
          <w:noProof/>
        </w:rPr>
        <w:t>Figure 13 : Evolution des consommations d'énergie de 2005 à 2018</w:t>
      </w:r>
      <w:r>
        <w:rPr>
          <w:noProof/>
        </w:rPr>
        <w:tab/>
      </w:r>
      <w:r>
        <w:rPr>
          <w:noProof/>
        </w:rPr>
        <w:fldChar w:fldCharType="begin"/>
      </w:r>
      <w:r>
        <w:rPr>
          <w:noProof/>
        </w:rPr>
        <w:instrText xml:space="preserve"> PAGEREF _Toc129786567 \h </w:instrText>
      </w:r>
      <w:r>
        <w:rPr>
          <w:noProof/>
        </w:rPr>
      </w:r>
      <w:r>
        <w:rPr>
          <w:noProof/>
        </w:rPr>
        <w:fldChar w:fldCharType="separate"/>
      </w:r>
      <w:r>
        <w:rPr>
          <w:noProof/>
        </w:rPr>
        <w:t>17</w:t>
      </w:r>
      <w:r>
        <w:rPr>
          <w:noProof/>
        </w:rPr>
        <w:fldChar w:fldCharType="end"/>
      </w:r>
    </w:p>
    <w:p w14:paraId="69F72F91" w14:textId="3511D449" w:rsidR="005732C6" w:rsidRDefault="005732C6">
      <w:pPr>
        <w:pStyle w:val="Tabledesillustrations"/>
        <w:tabs>
          <w:tab w:val="right" w:leader="dot" w:pos="10196"/>
        </w:tabs>
        <w:rPr>
          <w:noProof/>
        </w:rPr>
      </w:pPr>
      <w:r>
        <w:rPr>
          <w:noProof/>
        </w:rPr>
        <w:t>Figure 14 : Consommation par secteur et par habitant</w:t>
      </w:r>
      <w:r>
        <w:rPr>
          <w:noProof/>
        </w:rPr>
        <w:tab/>
      </w:r>
      <w:r>
        <w:rPr>
          <w:noProof/>
        </w:rPr>
        <w:fldChar w:fldCharType="begin"/>
      </w:r>
      <w:r>
        <w:rPr>
          <w:noProof/>
        </w:rPr>
        <w:instrText xml:space="preserve"> PAGEREF _Toc129786568 \h </w:instrText>
      </w:r>
      <w:r>
        <w:rPr>
          <w:noProof/>
        </w:rPr>
      </w:r>
      <w:r>
        <w:rPr>
          <w:noProof/>
        </w:rPr>
        <w:fldChar w:fldCharType="separate"/>
      </w:r>
      <w:r>
        <w:rPr>
          <w:noProof/>
        </w:rPr>
        <w:t>18</w:t>
      </w:r>
      <w:r>
        <w:rPr>
          <w:noProof/>
        </w:rPr>
        <w:fldChar w:fldCharType="end"/>
      </w:r>
    </w:p>
    <w:p w14:paraId="4AE8B7B3" w14:textId="5316B12E" w:rsidR="005732C6" w:rsidRDefault="005732C6">
      <w:pPr>
        <w:pStyle w:val="Tabledesillustrations"/>
        <w:tabs>
          <w:tab w:val="right" w:leader="dot" w:pos="10196"/>
        </w:tabs>
        <w:rPr>
          <w:noProof/>
        </w:rPr>
      </w:pPr>
      <w:r>
        <w:rPr>
          <w:noProof/>
        </w:rPr>
        <w:t>Figure 15 : Répartition de la production d'énergies renouvelables sur le territoire de la CC Haute Vallée de Chevreuse</w:t>
      </w:r>
      <w:r>
        <w:rPr>
          <w:noProof/>
        </w:rPr>
        <w:tab/>
      </w:r>
      <w:r>
        <w:rPr>
          <w:noProof/>
        </w:rPr>
        <w:fldChar w:fldCharType="begin"/>
      </w:r>
      <w:r>
        <w:rPr>
          <w:noProof/>
        </w:rPr>
        <w:instrText xml:space="preserve"> PAGEREF _Toc129786569 \h </w:instrText>
      </w:r>
      <w:r>
        <w:rPr>
          <w:noProof/>
        </w:rPr>
      </w:r>
      <w:r>
        <w:rPr>
          <w:noProof/>
        </w:rPr>
        <w:fldChar w:fldCharType="separate"/>
      </w:r>
      <w:r>
        <w:rPr>
          <w:noProof/>
        </w:rPr>
        <w:t>26</w:t>
      </w:r>
      <w:r>
        <w:rPr>
          <w:noProof/>
        </w:rPr>
        <w:fldChar w:fldCharType="end"/>
      </w:r>
    </w:p>
    <w:p w14:paraId="5CDC28B0" w14:textId="6A57F8B5" w:rsidR="005732C6" w:rsidRDefault="005732C6">
      <w:pPr>
        <w:pStyle w:val="Tabledesillustrations"/>
        <w:tabs>
          <w:tab w:val="right" w:leader="dot" w:pos="10196"/>
        </w:tabs>
        <w:rPr>
          <w:noProof/>
        </w:rPr>
      </w:pPr>
      <w:r>
        <w:rPr>
          <w:noProof/>
        </w:rPr>
        <w:t>Figure 16 : Facture énergétique du territoire</w:t>
      </w:r>
      <w:r>
        <w:rPr>
          <w:noProof/>
        </w:rPr>
        <w:tab/>
      </w:r>
      <w:r>
        <w:rPr>
          <w:noProof/>
        </w:rPr>
        <w:fldChar w:fldCharType="begin"/>
      </w:r>
      <w:r>
        <w:rPr>
          <w:noProof/>
        </w:rPr>
        <w:instrText xml:space="preserve"> PAGEREF _Toc129786570 \h </w:instrText>
      </w:r>
      <w:r>
        <w:rPr>
          <w:noProof/>
        </w:rPr>
      </w:r>
      <w:r>
        <w:rPr>
          <w:noProof/>
        </w:rPr>
        <w:fldChar w:fldCharType="separate"/>
      </w:r>
      <w:r>
        <w:rPr>
          <w:noProof/>
        </w:rPr>
        <w:t>28</w:t>
      </w:r>
      <w:r>
        <w:rPr>
          <w:noProof/>
        </w:rPr>
        <w:fldChar w:fldCharType="end"/>
      </w:r>
    </w:p>
    <w:p w14:paraId="0511DFE7" w14:textId="260A27B5" w:rsidR="005732C6" w:rsidRDefault="005732C6">
      <w:pPr>
        <w:pStyle w:val="Tabledesillustrations"/>
        <w:tabs>
          <w:tab w:val="right" w:leader="dot" w:pos="10196"/>
        </w:tabs>
        <w:rPr>
          <w:noProof/>
        </w:rPr>
      </w:pPr>
      <w:r>
        <w:rPr>
          <w:noProof/>
        </w:rPr>
        <w:t>Figure 17 : Répartition des créations d'emploi par filière d'EnR&amp;R</w:t>
      </w:r>
      <w:r>
        <w:rPr>
          <w:noProof/>
        </w:rPr>
        <w:tab/>
      </w:r>
      <w:r>
        <w:rPr>
          <w:noProof/>
        </w:rPr>
        <w:fldChar w:fldCharType="begin"/>
      </w:r>
      <w:r>
        <w:rPr>
          <w:noProof/>
        </w:rPr>
        <w:instrText xml:space="preserve"> PAGEREF _Toc129786571 \h </w:instrText>
      </w:r>
      <w:r>
        <w:rPr>
          <w:noProof/>
        </w:rPr>
      </w:r>
      <w:r>
        <w:rPr>
          <w:noProof/>
        </w:rPr>
        <w:fldChar w:fldCharType="separate"/>
      </w:r>
      <w:r>
        <w:rPr>
          <w:noProof/>
        </w:rPr>
        <w:t>29</w:t>
      </w:r>
      <w:r>
        <w:rPr>
          <w:noProof/>
        </w:rPr>
        <w:fldChar w:fldCharType="end"/>
      </w:r>
    </w:p>
    <w:p w14:paraId="19C74CFA" w14:textId="102E5797" w:rsidR="005732C6" w:rsidRDefault="005732C6">
      <w:pPr>
        <w:pStyle w:val="Tabledesillustrations"/>
        <w:tabs>
          <w:tab w:val="right" w:leader="dot" w:pos="10196"/>
        </w:tabs>
        <w:rPr>
          <w:noProof/>
        </w:rPr>
      </w:pPr>
      <w:r>
        <w:rPr>
          <w:noProof/>
        </w:rPr>
        <w:t>Figure 18 : Répartition des GES évités par filière EnR&amp;R</w:t>
      </w:r>
      <w:r>
        <w:rPr>
          <w:noProof/>
        </w:rPr>
        <w:tab/>
      </w:r>
      <w:r>
        <w:rPr>
          <w:noProof/>
        </w:rPr>
        <w:fldChar w:fldCharType="begin"/>
      </w:r>
      <w:r>
        <w:rPr>
          <w:noProof/>
        </w:rPr>
        <w:instrText xml:space="preserve"> PAGEREF _Toc129786572 \h </w:instrText>
      </w:r>
      <w:r>
        <w:rPr>
          <w:noProof/>
        </w:rPr>
      </w:r>
      <w:r>
        <w:rPr>
          <w:noProof/>
        </w:rPr>
        <w:fldChar w:fldCharType="separate"/>
      </w:r>
      <w:r>
        <w:rPr>
          <w:noProof/>
        </w:rPr>
        <w:t>29</w:t>
      </w:r>
      <w:r>
        <w:rPr>
          <w:noProof/>
        </w:rPr>
        <w:fldChar w:fldCharType="end"/>
      </w:r>
    </w:p>
    <w:p w14:paraId="0DE0E52B" w14:textId="4CFF8EE1" w:rsidR="005732C6" w:rsidRDefault="005732C6">
      <w:pPr>
        <w:pStyle w:val="Tabledesillustrations"/>
        <w:tabs>
          <w:tab w:val="right" w:leader="dot" w:pos="10196"/>
        </w:tabs>
        <w:rPr>
          <w:noProof/>
        </w:rPr>
      </w:pPr>
      <w:r>
        <w:rPr>
          <w:noProof/>
        </w:rPr>
        <w:t>Figure 19 : Zones de contraintes réglementaires pour l'implantation d'éoliennes</w:t>
      </w:r>
      <w:r>
        <w:rPr>
          <w:noProof/>
        </w:rPr>
        <w:tab/>
      </w:r>
      <w:r>
        <w:rPr>
          <w:noProof/>
        </w:rPr>
        <w:fldChar w:fldCharType="begin"/>
      </w:r>
      <w:r>
        <w:rPr>
          <w:noProof/>
        </w:rPr>
        <w:instrText xml:space="preserve"> PAGEREF _Toc129786573 \h </w:instrText>
      </w:r>
      <w:r>
        <w:rPr>
          <w:noProof/>
        </w:rPr>
      </w:r>
      <w:r>
        <w:rPr>
          <w:noProof/>
        </w:rPr>
        <w:fldChar w:fldCharType="separate"/>
      </w:r>
      <w:r>
        <w:rPr>
          <w:noProof/>
        </w:rPr>
        <w:t>31</w:t>
      </w:r>
      <w:r>
        <w:rPr>
          <w:noProof/>
        </w:rPr>
        <w:fldChar w:fldCharType="end"/>
      </w:r>
    </w:p>
    <w:p w14:paraId="07C46E01" w14:textId="55F87B5C" w:rsidR="005732C6" w:rsidRDefault="005732C6">
      <w:pPr>
        <w:pStyle w:val="Tabledesillustrations"/>
        <w:tabs>
          <w:tab w:val="right" w:leader="dot" w:pos="10196"/>
        </w:tabs>
        <w:rPr>
          <w:noProof/>
        </w:rPr>
      </w:pPr>
      <w:r>
        <w:rPr>
          <w:noProof/>
        </w:rPr>
        <w:t>Figure 20 : Gisement de productible solaire PV</w:t>
      </w:r>
      <w:r>
        <w:rPr>
          <w:noProof/>
        </w:rPr>
        <w:tab/>
      </w:r>
      <w:r>
        <w:rPr>
          <w:noProof/>
        </w:rPr>
        <w:fldChar w:fldCharType="begin"/>
      </w:r>
      <w:r>
        <w:rPr>
          <w:noProof/>
        </w:rPr>
        <w:instrText xml:space="preserve"> PAGEREF _Toc129786574 \h </w:instrText>
      </w:r>
      <w:r>
        <w:rPr>
          <w:noProof/>
        </w:rPr>
      </w:r>
      <w:r>
        <w:rPr>
          <w:noProof/>
        </w:rPr>
        <w:fldChar w:fldCharType="separate"/>
      </w:r>
      <w:r>
        <w:rPr>
          <w:noProof/>
        </w:rPr>
        <w:t>32</w:t>
      </w:r>
      <w:r>
        <w:rPr>
          <w:noProof/>
        </w:rPr>
        <w:fldChar w:fldCharType="end"/>
      </w:r>
    </w:p>
    <w:p w14:paraId="15BCC580" w14:textId="71C36E42" w:rsidR="005732C6" w:rsidRDefault="005732C6">
      <w:pPr>
        <w:pStyle w:val="Tabledesillustrations"/>
        <w:tabs>
          <w:tab w:val="right" w:leader="dot" w:pos="10196"/>
        </w:tabs>
        <w:rPr>
          <w:noProof/>
        </w:rPr>
      </w:pPr>
      <w:r>
        <w:rPr>
          <w:noProof/>
        </w:rPr>
        <w:t>Figure 21 : Potentiel de production solaire PV</w:t>
      </w:r>
      <w:r>
        <w:rPr>
          <w:noProof/>
        </w:rPr>
        <w:tab/>
      </w:r>
      <w:r>
        <w:rPr>
          <w:noProof/>
        </w:rPr>
        <w:fldChar w:fldCharType="begin"/>
      </w:r>
      <w:r>
        <w:rPr>
          <w:noProof/>
        </w:rPr>
        <w:instrText xml:space="preserve"> PAGEREF _Toc129786575 \h </w:instrText>
      </w:r>
      <w:r>
        <w:rPr>
          <w:noProof/>
        </w:rPr>
      </w:r>
      <w:r>
        <w:rPr>
          <w:noProof/>
        </w:rPr>
        <w:fldChar w:fldCharType="separate"/>
      </w:r>
      <w:r>
        <w:rPr>
          <w:noProof/>
        </w:rPr>
        <w:t>33</w:t>
      </w:r>
      <w:r>
        <w:rPr>
          <w:noProof/>
        </w:rPr>
        <w:fldChar w:fldCharType="end"/>
      </w:r>
    </w:p>
    <w:p w14:paraId="05F18EA1" w14:textId="407A96A9" w:rsidR="005732C6" w:rsidRDefault="005732C6">
      <w:pPr>
        <w:pStyle w:val="Tabledesillustrations"/>
        <w:tabs>
          <w:tab w:val="right" w:leader="dot" w:pos="10196"/>
        </w:tabs>
        <w:rPr>
          <w:noProof/>
        </w:rPr>
      </w:pPr>
      <w:r>
        <w:rPr>
          <w:noProof/>
        </w:rPr>
        <w:t>Figure 22 : Potentiel de production solaire PV en ombrières de parkings par commune</w:t>
      </w:r>
      <w:r>
        <w:rPr>
          <w:noProof/>
        </w:rPr>
        <w:tab/>
      </w:r>
      <w:r>
        <w:rPr>
          <w:noProof/>
        </w:rPr>
        <w:fldChar w:fldCharType="begin"/>
      </w:r>
      <w:r>
        <w:rPr>
          <w:noProof/>
        </w:rPr>
        <w:instrText xml:space="preserve"> PAGEREF _Toc129786576 \h </w:instrText>
      </w:r>
      <w:r>
        <w:rPr>
          <w:noProof/>
        </w:rPr>
      </w:r>
      <w:r>
        <w:rPr>
          <w:noProof/>
        </w:rPr>
        <w:fldChar w:fldCharType="separate"/>
      </w:r>
      <w:r>
        <w:rPr>
          <w:noProof/>
        </w:rPr>
        <w:t>34</w:t>
      </w:r>
      <w:r>
        <w:rPr>
          <w:noProof/>
        </w:rPr>
        <w:fldChar w:fldCharType="end"/>
      </w:r>
    </w:p>
    <w:p w14:paraId="1EF962C6" w14:textId="23ED4B65" w:rsidR="005732C6" w:rsidRDefault="005732C6">
      <w:pPr>
        <w:pStyle w:val="Tabledesillustrations"/>
        <w:tabs>
          <w:tab w:val="right" w:leader="dot" w:pos="10196"/>
        </w:tabs>
        <w:rPr>
          <w:noProof/>
        </w:rPr>
      </w:pPr>
      <w:r>
        <w:rPr>
          <w:noProof/>
        </w:rPr>
        <w:t>Figure 23 : Zones de contraintes sur la CC Haute Vallée de Chevreuse pour l'implantation de centrales au sol</w:t>
      </w:r>
      <w:r>
        <w:rPr>
          <w:noProof/>
        </w:rPr>
        <w:tab/>
      </w:r>
      <w:r>
        <w:rPr>
          <w:noProof/>
        </w:rPr>
        <w:fldChar w:fldCharType="begin"/>
      </w:r>
      <w:r>
        <w:rPr>
          <w:noProof/>
        </w:rPr>
        <w:instrText xml:space="preserve"> PAGEREF _Toc129786577 \h </w:instrText>
      </w:r>
      <w:r>
        <w:rPr>
          <w:noProof/>
        </w:rPr>
      </w:r>
      <w:r>
        <w:rPr>
          <w:noProof/>
        </w:rPr>
        <w:fldChar w:fldCharType="separate"/>
      </w:r>
      <w:r>
        <w:rPr>
          <w:noProof/>
        </w:rPr>
        <w:t>35</w:t>
      </w:r>
      <w:r>
        <w:rPr>
          <w:noProof/>
        </w:rPr>
        <w:fldChar w:fldCharType="end"/>
      </w:r>
    </w:p>
    <w:p w14:paraId="604F06D1" w14:textId="352A02F4" w:rsidR="005732C6" w:rsidRDefault="005732C6">
      <w:pPr>
        <w:pStyle w:val="Tabledesillustrations"/>
        <w:tabs>
          <w:tab w:val="right" w:leader="dot" w:pos="10196"/>
        </w:tabs>
        <w:rPr>
          <w:noProof/>
        </w:rPr>
      </w:pPr>
      <w:r>
        <w:rPr>
          <w:noProof/>
        </w:rPr>
        <w:t>Figure 24 : Surfaces considérées pour l’installation de solaire thermique par type de consommateur (m²)</w:t>
      </w:r>
      <w:r>
        <w:rPr>
          <w:noProof/>
        </w:rPr>
        <w:tab/>
      </w:r>
      <w:r>
        <w:rPr>
          <w:noProof/>
        </w:rPr>
        <w:fldChar w:fldCharType="begin"/>
      </w:r>
      <w:r>
        <w:rPr>
          <w:noProof/>
        </w:rPr>
        <w:instrText xml:space="preserve"> PAGEREF _Toc129786578 \h </w:instrText>
      </w:r>
      <w:r>
        <w:rPr>
          <w:noProof/>
        </w:rPr>
      </w:r>
      <w:r>
        <w:rPr>
          <w:noProof/>
        </w:rPr>
        <w:fldChar w:fldCharType="separate"/>
      </w:r>
      <w:r>
        <w:rPr>
          <w:noProof/>
        </w:rPr>
        <w:t>38</w:t>
      </w:r>
      <w:r>
        <w:rPr>
          <w:noProof/>
        </w:rPr>
        <w:fldChar w:fldCharType="end"/>
      </w:r>
    </w:p>
    <w:p w14:paraId="52C5654E" w14:textId="05E174E1" w:rsidR="005732C6" w:rsidRDefault="005732C6">
      <w:pPr>
        <w:pStyle w:val="Tabledesillustrations"/>
        <w:tabs>
          <w:tab w:val="right" w:leader="dot" w:pos="10196"/>
        </w:tabs>
        <w:rPr>
          <w:noProof/>
        </w:rPr>
      </w:pPr>
      <w:r>
        <w:rPr>
          <w:noProof/>
        </w:rPr>
        <w:t>Figure 25 : Potentiel de production de chaleur issue du solaire thermique, réparti par commune</w:t>
      </w:r>
      <w:r>
        <w:rPr>
          <w:noProof/>
        </w:rPr>
        <w:tab/>
      </w:r>
      <w:r>
        <w:rPr>
          <w:noProof/>
        </w:rPr>
        <w:fldChar w:fldCharType="begin"/>
      </w:r>
      <w:r>
        <w:rPr>
          <w:noProof/>
        </w:rPr>
        <w:instrText xml:space="preserve"> PAGEREF _Toc129786579 \h </w:instrText>
      </w:r>
      <w:r>
        <w:rPr>
          <w:noProof/>
        </w:rPr>
      </w:r>
      <w:r>
        <w:rPr>
          <w:noProof/>
        </w:rPr>
        <w:fldChar w:fldCharType="separate"/>
      </w:r>
      <w:r>
        <w:rPr>
          <w:noProof/>
        </w:rPr>
        <w:t>39</w:t>
      </w:r>
      <w:r>
        <w:rPr>
          <w:noProof/>
        </w:rPr>
        <w:fldChar w:fldCharType="end"/>
      </w:r>
    </w:p>
    <w:p w14:paraId="79CC31F5" w14:textId="43C61B34" w:rsidR="005732C6" w:rsidRDefault="005732C6">
      <w:pPr>
        <w:pStyle w:val="Tabledesillustrations"/>
        <w:tabs>
          <w:tab w:val="right" w:leader="dot" w:pos="10196"/>
        </w:tabs>
        <w:rPr>
          <w:noProof/>
        </w:rPr>
      </w:pPr>
      <w:r>
        <w:rPr>
          <w:noProof/>
        </w:rPr>
        <w:t>Figure 26 : Carte du potentiel géothermique sur nappe de la CC Haute Vallée de Chevreuse</w:t>
      </w:r>
      <w:r>
        <w:rPr>
          <w:noProof/>
        </w:rPr>
        <w:tab/>
      </w:r>
      <w:r>
        <w:rPr>
          <w:noProof/>
        </w:rPr>
        <w:fldChar w:fldCharType="begin"/>
      </w:r>
      <w:r>
        <w:rPr>
          <w:noProof/>
        </w:rPr>
        <w:instrText xml:space="preserve"> PAGEREF _Toc129786580 \h </w:instrText>
      </w:r>
      <w:r>
        <w:rPr>
          <w:noProof/>
        </w:rPr>
      </w:r>
      <w:r>
        <w:rPr>
          <w:noProof/>
        </w:rPr>
        <w:fldChar w:fldCharType="separate"/>
      </w:r>
      <w:r>
        <w:rPr>
          <w:noProof/>
        </w:rPr>
        <w:t>41</w:t>
      </w:r>
      <w:r>
        <w:rPr>
          <w:noProof/>
        </w:rPr>
        <w:fldChar w:fldCharType="end"/>
      </w:r>
    </w:p>
    <w:p w14:paraId="29A56EEE" w14:textId="3E9FEE20" w:rsidR="005732C6" w:rsidRDefault="005732C6">
      <w:pPr>
        <w:pStyle w:val="Tabledesillustrations"/>
        <w:tabs>
          <w:tab w:val="right" w:leader="dot" w:pos="10196"/>
        </w:tabs>
        <w:rPr>
          <w:noProof/>
        </w:rPr>
      </w:pPr>
      <w:r>
        <w:rPr>
          <w:noProof/>
        </w:rPr>
        <w:t>Figure 27 : Zones éligibles à la GMI sur le territoire de la CC Haute Vallée de Chevreuse</w:t>
      </w:r>
      <w:r>
        <w:rPr>
          <w:noProof/>
        </w:rPr>
        <w:tab/>
      </w:r>
      <w:r>
        <w:rPr>
          <w:noProof/>
        </w:rPr>
        <w:fldChar w:fldCharType="begin"/>
      </w:r>
      <w:r>
        <w:rPr>
          <w:noProof/>
        </w:rPr>
        <w:instrText xml:space="preserve"> PAGEREF _Toc129786581 \h </w:instrText>
      </w:r>
      <w:r>
        <w:rPr>
          <w:noProof/>
        </w:rPr>
      </w:r>
      <w:r>
        <w:rPr>
          <w:noProof/>
        </w:rPr>
        <w:fldChar w:fldCharType="separate"/>
      </w:r>
      <w:r>
        <w:rPr>
          <w:noProof/>
        </w:rPr>
        <w:t>42</w:t>
      </w:r>
      <w:r>
        <w:rPr>
          <w:noProof/>
        </w:rPr>
        <w:fldChar w:fldCharType="end"/>
      </w:r>
    </w:p>
    <w:p w14:paraId="4A9D5BBB" w14:textId="1DF87974" w:rsidR="005732C6" w:rsidRDefault="005732C6">
      <w:pPr>
        <w:pStyle w:val="Tabledesillustrations"/>
        <w:tabs>
          <w:tab w:val="right" w:leader="dot" w:pos="10196"/>
        </w:tabs>
        <w:rPr>
          <w:noProof/>
        </w:rPr>
      </w:pPr>
      <w:r>
        <w:rPr>
          <w:noProof/>
        </w:rPr>
        <w:t>Figure 28 : Répartition par commune du potentiel de production d'énergie des PAC</w:t>
      </w:r>
      <w:r>
        <w:rPr>
          <w:noProof/>
        </w:rPr>
        <w:tab/>
      </w:r>
      <w:r>
        <w:rPr>
          <w:noProof/>
        </w:rPr>
        <w:fldChar w:fldCharType="begin"/>
      </w:r>
      <w:r>
        <w:rPr>
          <w:noProof/>
        </w:rPr>
        <w:instrText xml:space="preserve"> PAGEREF _Toc129786582 \h </w:instrText>
      </w:r>
      <w:r>
        <w:rPr>
          <w:noProof/>
        </w:rPr>
      </w:r>
      <w:r>
        <w:rPr>
          <w:noProof/>
        </w:rPr>
        <w:fldChar w:fldCharType="separate"/>
      </w:r>
      <w:r>
        <w:rPr>
          <w:noProof/>
        </w:rPr>
        <w:t>44</w:t>
      </w:r>
      <w:r>
        <w:rPr>
          <w:noProof/>
        </w:rPr>
        <w:fldChar w:fldCharType="end"/>
      </w:r>
    </w:p>
    <w:p w14:paraId="11D4E26A" w14:textId="2D70F199" w:rsidR="005732C6" w:rsidRDefault="005732C6">
      <w:pPr>
        <w:pStyle w:val="Tabledesillustrations"/>
        <w:tabs>
          <w:tab w:val="right" w:leader="dot" w:pos="10196"/>
        </w:tabs>
        <w:rPr>
          <w:noProof/>
        </w:rPr>
      </w:pPr>
      <w:r>
        <w:rPr>
          <w:noProof/>
        </w:rPr>
        <w:t>Figure 29 : Ressource forestière et bocagère du territoire</w:t>
      </w:r>
      <w:r>
        <w:rPr>
          <w:noProof/>
        </w:rPr>
        <w:tab/>
      </w:r>
      <w:r>
        <w:rPr>
          <w:noProof/>
        </w:rPr>
        <w:fldChar w:fldCharType="begin"/>
      </w:r>
      <w:r>
        <w:rPr>
          <w:noProof/>
        </w:rPr>
        <w:instrText xml:space="preserve"> PAGEREF _Toc129786583 \h </w:instrText>
      </w:r>
      <w:r>
        <w:rPr>
          <w:noProof/>
        </w:rPr>
      </w:r>
      <w:r>
        <w:rPr>
          <w:noProof/>
        </w:rPr>
        <w:fldChar w:fldCharType="separate"/>
      </w:r>
      <w:r>
        <w:rPr>
          <w:noProof/>
        </w:rPr>
        <w:t>45</w:t>
      </w:r>
      <w:r>
        <w:rPr>
          <w:noProof/>
        </w:rPr>
        <w:fldChar w:fldCharType="end"/>
      </w:r>
    </w:p>
    <w:p w14:paraId="2EFEA8F1" w14:textId="3FEB27E3" w:rsidR="005732C6" w:rsidRDefault="005732C6">
      <w:pPr>
        <w:pStyle w:val="Tabledesillustrations"/>
        <w:tabs>
          <w:tab w:val="right" w:leader="dot" w:pos="10196"/>
        </w:tabs>
        <w:rPr>
          <w:noProof/>
        </w:rPr>
      </w:pPr>
      <w:r>
        <w:rPr>
          <w:noProof/>
        </w:rPr>
        <w:t>Figure 30 : Accessibilité des massifs forestiers du territoire</w:t>
      </w:r>
      <w:r>
        <w:rPr>
          <w:noProof/>
        </w:rPr>
        <w:tab/>
      </w:r>
      <w:r>
        <w:rPr>
          <w:noProof/>
        </w:rPr>
        <w:fldChar w:fldCharType="begin"/>
      </w:r>
      <w:r>
        <w:rPr>
          <w:noProof/>
        </w:rPr>
        <w:instrText xml:space="preserve"> PAGEREF _Toc129786584 \h </w:instrText>
      </w:r>
      <w:r>
        <w:rPr>
          <w:noProof/>
        </w:rPr>
      </w:r>
      <w:r>
        <w:rPr>
          <w:noProof/>
        </w:rPr>
        <w:fldChar w:fldCharType="separate"/>
      </w:r>
      <w:r>
        <w:rPr>
          <w:noProof/>
        </w:rPr>
        <w:t>46</w:t>
      </w:r>
      <w:r>
        <w:rPr>
          <w:noProof/>
        </w:rPr>
        <w:fldChar w:fldCharType="end"/>
      </w:r>
    </w:p>
    <w:p w14:paraId="7AA3F45F" w14:textId="6C052B3F" w:rsidR="005732C6" w:rsidRDefault="005732C6">
      <w:pPr>
        <w:pStyle w:val="Tabledesillustrations"/>
        <w:tabs>
          <w:tab w:val="right" w:leader="dot" w:pos="10196"/>
        </w:tabs>
        <w:rPr>
          <w:noProof/>
        </w:rPr>
      </w:pPr>
      <w:r>
        <w:rPr>
          <w:noProof/>
        </w:rPr>
        <w:t>Figure 31 : Potentiel bois-énergie comparé à la production actuelle du territoire de la CC Haute Vallée de Chevreuse</w:t>
      </w:r>
      <w:r>
        <w:rPr>
          <w:noProof/>
        </w:rPr>
        <w:tab/>
      </w:r>
      <w:r>
        <w:rPr>
          <w:noProof/>
        </w:rPr>
        <w:fldChar w:fldCharType="begin"/>
      </w:r>
      <w:r>
        <w:rPr>
          <w:noProof/>
        </w:rPr>
        <w:instrText xml:space="preserve"> PAGEREF _Toc129786585 \h </w:instrText>
      </w:r>
      <w:r>
        <w:rPr>
          <w:noProof/>
        </w:rPr>
      </w:r>
      <w:r>
        <w:rPr>
          <w:noProof/>
        </w:rPr>
        <w:fldChar w:fldCharType="separate"/>
      </w:r>
      <w:r>
        <w:rPr>
          <w:noProof/>
        </w:rPr>
        <w:t>47</w:t>
      </w:r>
      <w:r>
        <w:rPr>
          <w:noProof/>
        </w:rPr>
        <w:fldChar w:fldCharType="end"/>
      </w:r>
    </w:p>
    <w:p w14:paraId="7EE2E402" w14:textId="7A901F80" w:rsidR="005732C6" w:rsidRDefault="005732C6">
      <w:pPr>
        <w:pStyle w:val="Tabledesillustrations"/>
        <w:tabs>
          <w:tab w:val="right" w:leader="dot" w:pos="10196"/>
        </w:tabs>
        <w:rPr>
          <w:noProof/>
        </w:rPr>
      </w:pPr>
      <w:r>
        <w:rPr>
          <w:noProof/>
        </w:rPr>
        <w:t>Figure 32 : Potentiel de production de bois-énergie réparti par commune</w:t>
      </w:r>
      <w:r>
        <w:rPr>
          <w:noProof/>
        </w:rPr>
        <w:tab/>
      </w:r>
      <w:r>
        <w:rPr>
          <w:noProof/>
        </w:rPr>
        <w:fldChar w:fldCharType="begin"/>
      </w:r>
      <w:r>
        <w:rPr>
          <w:noProof/>
        </w:rPr>
        <w:instrText xml:space="preserve"> PAGEREF _Toc129786586 \h </w:instrText>
      </w:r>
      <w:r>
        <w:rPr>
          <w:noProof/>
        </w:rPr>
      </w:r>
      <w:r>
        <w:rPr>
          <w:noProof/>
        </w:rPr>
        <w:fldChar w:fldCharType="separate"/>
      </w:r>
      <w:r>
        <w:rPr>
          <w:noProof/>
        </w:rPr>
        <w:t>48</w:t>
      </w:r>
      <w:r>
        <w:rPr>
          <w:noProof/>
        </w:rPr>
        <w:fldChar w:fldCharType="end"/>
      </w:r>
    </w:p>
    <w:p w14:paraId="61521889" w14:textId="7451A9B2" w:rsidR="005732C6" w:rsidRDefault="005732C6">
      <w:pPr>
        <w:pStyle w:val="Tabledesillustrations"/>
        <w:tabs>
          <w:tab w:val="right" w:leader="dot" w:pos="10196"/>
        </w:tabs>
        <w:rPr>
          <w:noProof/>
        </w:rPr>
      </w:pPr>
      <w:r>
        <w:rPr>
          <w:noProof/>
        </w:rPr>
        <w:t>Figure 33 : Répartition du potentiel net de production de biogaz par type de gisement</w:t>
      </w:r>
      <w:r>
        <w:rPr>
          <w:noProof/>
        </w:rPr>
        <w:tab/>
      </w:r>
      <w:r>
        <w:rPr>
          <w:noProof/>
        </w:rPr>
        <w:fldChar w:fldCharType="begin"/>
      </w:r>
      <w:r>
        <w:rPr>
          <w:noProof/>
        </w:rPr>
        <w:instrText xml:space="preserve"> PAGEREF _Toc129786587 \h </w:instrText>
      </w:r>
      <w:r>
        <w:rPr>
          <w:noProof/>
        </w:rPr>
      </w:r>
      <w:r>
        <w:rPr>
          <w:noProof/>
        </w:rPr>
        <w:fldChar w:fldCharType="separate"/>
      </w:r>
      <w:r>
        <w:rPr>
          <w:noProof/>
        </w:rPr>
        <w:t>49</w:t>
      </w:r>
      <w:r>
        <w:rPr>
          <w:noProof/>
        </w:rPr>
        <w:fldChar w:fldCharType="end"/>
      </w:r>
    </w:p>
    <w:p w14:paraId="25842AB2" w14:textId="54A8ADFC" w:rsidR="005732C6" w:rsidRDefault="005732C6">
      <w:pPr>
        <w:pStyle w:val="Tabledesillustrations"/>
        <w:tabs>
          <w:tab w:val="right" w:leader="dot" w:pos="10196"/>
        </w:tabs>
        <w:rPr>
          <w:noProof/>
        </w:rPr>
      </w:pPr>
      <w:r>
        <w:rPr>
          <w:noProof/>
        </w:rPr>
        <w:t>Figure 34 : Potentiel de production de biogaz par méthanisation</w:t>
      </w:r>
      <w:r>
        <w:rPr>
          <w:noProof/>
        </w:rPr>
        <w:tab/>
      </w:r>
      <w:r>
        <w:rPr>
          <w:noProof/>
        </w:rPr>
        <w:fldChar w:fldCharType="begin"/>
      </w:r>
      <w:r>
        <w:rPr>
          <w:noProof/>
        </w:rPr>
        <w:instrText xml:space="preserve"> PAGEREF _Toc129786588 \h </w:instrText>
      </w:r>
      <w:r>
        <w:rPr>
          <w:noProof/>
        </w:rPr>
      </w:r>
      <w:r>
        <w:rPr>
          <w:noProof/>
        </w:rPr>
        <w:fldChar w:fldCharType="separate"/>
      </w:r>
      <w:r>
        <w:rPr>
          <w:noProof/>
        </w:rPr>
        <w:t>50</w:t>
      </w:r>
      <w:r>
        <w:rPr>
          <w:noProof/>
        </w:rPr>
        <w:fldChar w:fldCharType="end"/>
      </w:r>
    </w:p>
    <w:p w14:paraId="5A66A9DB" w14:textId="4A1EF5C9" w:rsidR="005732C6" w:rsidRDefault="005732C6">
      <w:pPr>
        <w:pStyle w:val="Tabledesillustrations"/>
        <w:tabs>
          <w:tab w:val="right" w:leader="dot" w:pos="10196"/>
        </w:tabs>
        <w:rPr>
          <w:noProof/>
        </w:rPr>
      </w:pPr>
      <w:r>
        <w:rPr>
          <w:noProof/>
        </w:rPr>
        <w:t>Figure 35 : Zone de viabilité des réseaux de chaleurs potentiels d'après les gisements basse température (BT)  des STEU (Station de traitement des eaux usées) et la demande (BT) en 2015</w:t>
      </w:r>
      <w:r>
        <w:rPr>
          <w:noProof/>
        </w:rPr>
        <w:tab/>
      </w:r>
      <w:r>
        <w:rPr>
          <w:noProof/>
        </w:rPr>
        <w:fldChar w:fldCharType="begin"/>
      </w:r>
      <w:r>
        <w:rPr>
          <w:noProof/>
        </w:rPr>
        <w:instrText xml:space="preserve"> PAGEREF _Toc129786589 \h </w:instrText>
      </w:r>
      <w:r>
        <w:rPr>
          <w:noProof/>
        </w:rPr>
      </w:r>
      <w:r>
        <w:rPr>
          <w:noProof/>
        </w:rPr>
        <w:fldChar w:fldCharType="separate"/>
      </w:r>
      <w:r>
        <w:rPr>
          <w:noProof/>
        </w:rPr>
        <w:t>52</w:t>
      </w:r>
      <w:r>
        <w:rPr>
          <w:noProof/>
        </w:rPr>
        <w:fldChar w:fldCharType="end"/>
      </w:r>
    </w:p>
    <w:p w14:paraId="2F8F236E" w14:textId="515D506E" w:rsidR="005732C6" w:rsidRDefault="005732C6">
      <w:pPr>
        <w:pStyle w:val="Tabledesillustrations"/>
        <w:tabs>
          <w:tab w:val="right" w:leader="dot" w:pos="10196"/>
        </w:tabs>
        <w:rPr>
          <w:noProof/>
        </w:rPr>
      </w:pPr>
      <w:r>
        <w:rPr>
          <w:noProof/>
        </w:rPr>
        <w:t>Figure 36 : Zone de viabilité des réseaux de chaleurs potentiels d'après les gisements basse température (BT)  des Industries et la demande (BT) en 2015</w:t>
      </w:r>
      <w:r>
        <w:rPr>
          <w:noProof/>
        </w:rPr>
        <w:tab/>
      </w:r>
      <w:r>
        <w:rPr>
          <w:noProof/>
        </w:rPr>
        <w:fldChar w:fldCharType="begin"/>
      </w:r>
      <w:r>
        <w:rPr>
          <w:noProof/>
        </w:rPr>
        <w:instrText xml:space="preserve"> PAGEREF _Toc129786590 \h </w:instrText>
      </w:r>
      <w:r>
        <w:rPr>
          <w:noProof/>
        </w:rPr>
      </w:r>
      <w:r>
        <w:rPr>
          <w:noProof/>
        </w:rPr>
        <w:fldChar w:fldCharType="separate"/>
      </w:r>
      <w:r>
        <w:rPr>
          <w:noProof/>
        </w:rPr>
        <w:t>53</w:t>
      </w:r>
      <w:r>
        <w:rPr>
          <w:noProof/>
        </w:rPr>
        <w:fldChar w:fldCharType="end"/>
      </w:r>
    </w:p>
    <w:p w14:paraId="214F09E1" w14:textId="4FC3F7DA" w:rsidR="005732C6" w:rsidRDefault="005732C6">
      <w:pPr>
        <w:pStyle w:val="Tabledesillustrations"/>
        <w:tabs>
          <w:tab w:val="right" w:leader="dot" w:pos="10196"/>
        </w:tabs>
        <w:rPr>
          <w:noProof/>
        </w:rPr>
      </w:pPr>
      <w:r>
        <w:rPr>
          <w:noProof/>
        </w:rPr>
        <w:t>Figure 37 : Zone de viabilité des réseaux de chaleurs potentiels d'après les gisements basse température (BT)  des UIDND (Unité d’incinération des déchets non dangereux) et la demande (BT) en 2015</w:t>
      </w:r>
      <w:r>
        <w:rPr>
          <w:noProof/>
        </w:rPr>
        <w:tab/>
      </w:r>
      <w:r>
        <w:rPr>
          <w:noProof/>
        </w:rPr>
        <w:fldChar w:fldCharType="begin"/>
      </w:r>
      <w:r>
        <w:rPr>
          <w:noProof/>
        </w:rPr>
        <w:instrText xml:space="preserve"> PAGEREF _Toc129786591 \h </w:instrText>
      </w:r>
      <w:r>
        <w:rPr>
          <w:noProof/>
        </w:rPr>
      </w:r>
      <w:r>
        <w:rPr>
          <w:noProof/>
        </w:rPr>
        <w:fldChar w:fldCharType="separate"/>
      </w:r>
      <w:r>
        <w:rPr>
          <w:noProof/>
        </w:rPr>
        <w:t>53</w:t>
      </w:r>
      <w:r>
        <w:rPr>
          <w:noProof/>
        </w:rPr>
        <w:fldChar w:fldCharType="end"/>
      </w:r>
    </w:p>
    <w:p w14:paraId="703ACB30" w14:textId="723104AF" w:rsidR="005732C6" w:rsidRDefault="005732C6">
      <w:pPr>
        <w:pStyle w:val="Tabledesillustrations"/>
        <w:tabs>
          <w:tab w:val="right" w:leader="dot" w:pos="10196"/>
        </w:tabs>
        <w:rPr>
          <w:noProof/>
        </w:rPr>
      </w:pPr>
      <w:r w:rsidRPr="00C56EB9">
        <w:rPr>
          <w:noProof/>
          <w:color w:val="9CADE2" w:themeColor="accent6" w:themeTint="66"/>
        </w:rPr>
        <w:t xml:space="preserve"> </w:t>
      </w:r>
      <w:r>
        <w:rPr>
          <w:noProof/>
        </w:rPr>
        <w:t>Figure 37 : Répartition du potentiel valorisable de récupération de chaleur fatale</w:t>
      </w:r>
      <w:r>
        <w:rPr>
          <w:noProof/>
        </w:rPr>
        <w:tab/>
      </w:r>
      <w:r>
        <w:rPr>
          <w:noProof/>
        </w:rPr>
        <w:fldChar w:fldCharType="begin"/>
      </w:r>
      <w:r>
        <w:rPr>
          <w:noProof/>
        </w:rPr>
        <w:instrText xml:space="preserve"> PAGEREF _Toc129786592 \h </w:instrText>
      </w:r>
      <w:r>
        <w:rPr>
          <w:noProof/>
        </w:rPr>
      </w:r>
      <w:r>
        <w:rPr>
          <w:noProof/>
        </w:rPr>
        <w:fldChar w:fldCharType="separate"/>
      </w:r>
      <w:r>
        <w:rPr>
          <w:noProof/>
        </w:rPr>
        <w:t>54</w:t>
      </w:r>
      <w:r>
        <w:rPr>
          <w:noProof/>
        </w:rPr>
        <w:fldChar w:fldCharType="end"/>
      </w:r>
    </w:p>
    <w:p w14:paraId="1A91D119" w14:textId="16282FB7" w:rsidR="005732C6" w:rsidRDefault="005732C6">
      <w:pPr>
        <w:pStyle w:val="Tabledesillustrations"/>
        <w:tabs>
          <w:tab w:val="right" w:leader="dot" w:pos="10196"/>
        </w:tabs>
        <w:rPr>
          <w:noProof/>
        </w:rPr>
      </w:pPr>
      <w:r>
        <w:rPr>
          <w:noProof/>
        </w:rPr>
        <w:t>Figure 38 : Potentiel de production d’EnR&amp;R sur le territoire de la CC de la Haute Vallée de Chevreuse</w:t>
      </w:r>
      <w:r>
        <w:rPr>
          <w:noProof/>
        </w:rPr>
        <w:tab/>
      </w:r>
      <w:r>
        <w:rPr>
          <w:noProof/>
        </w:rPr>
        <w:fldChar w:fldCharType="begin"/>
      </w:r>
      <w:r>
        <w:rPr>
          <w:noProof/>
        </w:rPr>
        <w:instrText xml:space="preserve"> PAGEREF _Toc129786593 \h </w:instrText>
      </w:r>
      <w:r>
        <w:rPr>
          <w:noProof/>
        </w:rPr>
      </w:r>
      <w:r>
        <w:rPr>
          <w:noProof/>
        </w:rPr>
        <w:fldChar w:fldCharType="separate"/>
      </w:r>
      <w:r>
        <w:rPr>
          <w:noProof/>
        </w:rPr>
        <w:t>55</w:t>
      </w:r>
      <w:r>
        <w:rPr>
          <w:noProof/>
        </w:rPr>
        <w:fldChar w:fldCharType="end"/>
      </w:r>
    </w:p>
    <w:p w14:paraId="670F6BD8" w14:textId="1D7D820D" w:rsidR="005732C6" w:rsidRDefault="005732C6">
      <w:pPr>
        <w:pStyle w:val="Tabledesillustrations"/>
        <w:tabs>
          <w:tab w:val="right" w:leader="dot" w:pos="10196"/>
        </w:tabs>
        <w:rPr>
          <w:noProof/>
        </w:rPr>
      </w:pPr>
      <w:r>
        <w:rPr>
          <w:noProof/>
        </w:rPr>
        <w:t>Figure 39 : Tracé du réseau de transport et de distribution d’électricité</w:t>
      </w:r>
      <w:r>
        <w:rPr>
          <w:noProof/>
        </w:rPr>
        <w:tab/>
      </w:r>
      <w:r>
        <w:rPr>
          <w:noProof/>
        </w:rPr>
        <w:fldChar w:fldCharType="begin"/>
      </w:r>
      <w:r>
        <w:rPr>
          <w:noProof/>
        </w:rPr>
        <w:instrText xml:space="preserve"> PAGEREF _Toc129786594 \h </w:instrText>
      </w:r>
      <w:r>
        <w:rPr>
          <w:noProof/>
        </w:rPr>
      </w:r>
      <w:r>
        <w:rPr>
          <w:noProof/>
        </w:rPr>
        <w:fldChar w:fldCharType="separate"/>
      </w:r>
      <w:r>
        <w:rPr>
          <w:noProof/>
        </w:rPr>
        <w:t>56</w:t>
      </w:r>
      <w:r>
        <w:rPr>
          <w:noProof/>
        </w:rPr>
        <w:fldChar w:fldCharType="end"/>
      </w:r>
    </w:p>
    <w:p w14:paraId="55A92D69" w14:textId="211A5352" w:rsidR="005732C6" w:rsidRDefault="005732C6">
      <w:pPr>
        <w:pStyle w:val="Tabledesillustrations"/>
        <w:tabs>
          <w:tab w:val="right" w:leader="dot" w:pos="10196"/>
        </w:tabs>
        <w:rPr>
          <w:noProof/>
        </w:rPr>
      </w:pPr>
      <w:r>
        <w:rPr>
          <w:noProof/>
        </w:rPr>
        <w:t>Figure 40 : Tracé du réseau de transport et de distribution de gaz naturel sur le territoire</w:t>
      </w:r>
      <w:r>
        <w:rPr>
          <w:noProof/>
        </w:rPr>
        <w:tab/>
      </w:r>
      <w:r>
        <w:rPr>
          <w:noProof/>
        </w:rPr>
        <w:fldChar w:fldCharType="begin"/>
      </w:r>
      <w:r>
        <w:rPr>
          <w:noProof/>
        </w:rPr>
        <w:instrText xml:space="preserve"> PAGEREF _Toc129786595 \h </w:instrText>
      </w:r>
      <w:r>
        <w:rPr>
          <w:noProof/>
        </w:rPr>
      </w:r>
      <w:r>
        <w:rPr>
          <w:noProof/>
        </w:rPr>
        <w:fldChar w:fldCharType="separate"/>
      </w:r>
      <w:r>
        <w:rPr>
          <w:noProof/>
        </w:rPr>
        <w:t>57</w:t>
      </w:r>
      <w:r>
        <w:rPr>
          <w:noProof/>
        </w:rPr>
        <w:fldChar w:fldCharType="end"/>
      </w:r>
    </w:p>
    <w:p w14:paraId="563FFD38" w14:textId="0F58EB09" w:rsidR="005732C6" w:rsidRDefault="005732C6">
      <w:pPr>
        <w:pStyle w:val="Tabledesillustrations"/>
        <w:tabs>
          <w:tab w:val="right" w:leader="dot" w:pos="10196"/>
        </w:tabs>
        <w:rPr>
          <w:noProof/>
        </w:rPr>
      </w:pPr>
      <w:r>
        <w:rPr>
          <w:noProof/>
        </w:rPr>
        <w:t>Figure 41</w:t>
      </w:r>
      <w:r w:rsidRPr="00C56EB9">
        <w:rPr>
          <w:rFonts w:eastAsia="Times New Roman" w:cs="Calibri"/>
          <w:noProof/>
          <w:shd w:val="clear" w:color="auto" w:fill="FFFF99"/>
        </w:rPr>
        <w:t xml:space="preserve"> </w:t>
      </w:r>
      <w:r>
        <w:rPr>
          <w:noProof/>
        </w:rPr>
        <w:t>: Tracé du réseau de transport et de distribution de gaz naturel sur le territoire</w:t>
      </w:r>
      <w:r>
        <w:rPr>
          <w:noProof/>
        </w:rPr>
        <w:tab/>
      </w:r>
      <w:r>
        <w:rPr>
          <w:noProof/>
        </w:rPr>
        <w:fldChar w:fldCharType="begin"/>
      </w:r>
      <w:r>
        <w:rPr>
          <w:noProof/>
        </w:rPr>
        <w:instrText xml:space="preserve"> PAGEREF _Toc129786596 \h </w:instrText>
      </w:r>
      <w:r>
        <w:rPr>
          <w:noProof/>
        </w:rPr>
      </w:r>
      <w:r>
        <w:rPr>
          <w:noProof/>
        </w:rPr>
        <w:fldChar w:fldCharType="separate"/>
      </w:r>
      <w:r>
        <w:rPr>
          <w:noProof/>
        </w:rPr>
        <w:t>58</w:t>
      </w:r>
      <w:r>
        <w:rPr>
          <w:noProof/>
        </w:rPr>
        <w:fldChar w:fldCharType="end"/>
      </w:r>
    </w:p>
    <w:p w14:paraId="6FE232A5" w14:textId="20475F8B" w:rsidR="005732C6" w:rsidRDefault="005732C6">
      <w:pPr>
        <w:pStyle w:val="Tabledesillustrations"/>
        <w:tabs>
          <w:tab w:val="right" w:leader="dot" w:pos="10196"/>
        </w:tabs>
        <w:rPr>
          <w:noProof/>
        </w:rPr>
      </w:pPr>
      <w:r>
        <w:rPr>
          <w:noProof/>
        </w:rPr>
        <w:t>Figure 42 : Cartographie des principales surfaces de toitures et de parkings  pouvant être équipées de photovoltaïque – Saint-Rémy-lès-Chevreuse</w:t>
      </w:r>
      <w:r>
        <w:rPr>
          <w:noProof/>
        </w:rPr>
        <w:tab/>
      </w:r>
      <w:r>
        <w:rPr>
          <w:noProof/>
        </w:rPr>
        <w:fldChar w:fldCharType="begin"/>
      </w:r>
      <w:r>
        <w:rPr>
          <w:noProof/>
        </w:rPr>
        <w:instrText xml:space="preserve"> PAGEREF _Toc129786597 \h </w:instrText>
      </w:r>
      <w:r>
        <w:rPr>
          <w:noProof/>
        </w:rPr>
      </w:r>
      <w:r>
        <w:rPr>
          <w:noProof/>
        </w:rPr>
        <w:fldChar w:fldCharType="separate"/>
      </w:r>
      <w:r>
        <w:rPr>
          <w:noProof/>
        </w:rPr>
        <w:t>66</w:t>
      </w:r>
      <w:r>
        <w:rPr>
          <w:noProof/>
        </w:rPr>
        <w:fldChar w:fldCharType="end"/>
      </w:r>
    </w:p>
    <w:p w14:paraId="53BDD3F5" w14:textId="0FFDBBDB" w:rsidR="005732C6" w:rsidRDefault="005732C6">
      <w:pPr>
        <w:pStyle w:val="Tabledesillustrations"/>
        <w:tabs>
          <w:tab w:val="right" w:leader="dot" w:pos="10196"/>
        </w:tabs>
        <w:rPr>
          <w:noProof/>
        </w:rPr>
      </w:pPr>
      <w:r>
        <w:rPr>
          <w:noProof/>
        </w:rPr>
        <w:t>Figure 43 : Cartographie des principales surfaces de toitures et de parkings  pouvant être équipées de photovoltaïque – Milon-la-Chapelle</w:t>
      </w:r>
      <w:r>
        <w:rPr>
          <w:noProof/>
        </w:rPr>
        <w:tab/>
      </w:r>
      <w:r>
        <w:rPr>
          <w:noProof/>
        </w:rPr>
        <w:fldChar w:fldCharType="begin"/>
      </w:r>
      <w:r>
        <w:rPr>
          <w:noProof/>
        </w:rPr>
        <w:instrText xml:space="preserve"> PAGEREF _Toc129786598 \h </w:instrText>
      </w:r>
      <w:r>
        <w:rPr>
          <w:noProof/>
        </w:rPr>
      </w:r>
      <w:r>
        <w:rPr>
          <w:noProof/>
        </w:rPr>
        <w:fldChar w:fldCharType="separate"/>
      </w:r>
      <w:r>
        <w:rPr>
          <w:noProof/>
        </w:rPr>
        <w:t>67</w:t>
      </w:r>
      <w:r>
        <w:rPr>
          <w:noProof/>
        </w:rPr>
        <w:fldChar w:fldCharType="end"/>
      </w:r>
    </w:p>
    <w:p w14:paraId="34794D20" w14:textId="6761163D" w:rsidR="005732C6" w:rsidRDefault="005732C6">
      <w:pPr>
        <w:pStyle w:val="Tabledesillustrations"/>
        <w:tabs>
          <w:tab w:val="right" w:leader="dot" w:pos="10196"/>
        </w:tabs>
        <w:rPr>
          <w:noProof/>
        </w:rPr>
      </w:pPr>
      <w:r>
        <w:rPr>
          <w:noProof/>
        </w:rPr>
        <w:t>Figure 44 : Cartographie des principales surfaces de toitures et de parkings  pouvant être équipées de photovoltaïque – Chevreuse</w:t>
      </w:r>
      <w:r>
        <w:rPr>
          <w:noProof/>
        </w:rPr>
        <w:tab/>
      </w:r>
      <w:r>
        <w:rPr>
          <w:noProof/>
        </w:rPr>
        <w:fldChar w:fldCharType="begin"/>
      </w:r>
      <w:r>
        <w:rPr>
          <w:noProof/>
        </w:rPr>
        <w:instrText xml:space="preserve"> PAGEREF _Toc129786599 \h </w:instrText>
      </w:r>
      <w:r>
        <w:rPr>
          <w:noProof/>
        </w:rPr>
      </w:r>
      <w:r>
        <w:rPr>
          <w:noProof/>
        </w:rPr>
        <w:fldChar w:fldCharType="separate"/>
      </w:r>
      <w:r>
        <w:rPr>
          <w:noProof/>
        </w:rPr>
        <w:t>67</w:t>
      </w:r>
      <w:r>
        <w:rPr>
          <w:noProof/>
        </w:rPr>
        <w:fldChar w:fldCharType="end"/>
      </w:r>
    </w:p>
    <w:p w14:paraId="2C90866A" w14:textId="31353A51" w:rsidR="005732C6" w:rsidRDefault="005732C6">
      <w:pPr>
        <w:pStyle w:val="Tabledesillustrations"/>
        <w:tabs>
          <w:tab w:val="right" w:leader="dot" w:pos="10196"/>
        </w:tabs>
        <w:rPr>
          <w:noProof/>
        </w:rPr>
      </w:pPr>
      <w:r>
        <w:rPr>
          <w:noProof/>
        </w:rPr>
        <w:t>Figure 45 : Cartographie des principales surfaces de toitures et de parkings  pouvant être équipées de photovoltaïque – Senlisse</w:t>
      </w:r>
      <w:r>
        <w:rPr>
          <w:noProof/>
        </w:rPr>
        <w:tab/>
      </w:r>
      <w:r>
        <w:rPr>
          <w:noProof/>
        </w:rPr>
        <w:fldChar w:fldCharType="begin"/>
      </w:r>
      <w:r>
        <w:rPr>
          <w:noProof/>
        </w:rPr>
        <w:instrText xml:space="preserve"> PAGEREF _Toc129786600 \h </w:instrText>
      </w:r>
      <w:r>
        <w:rPr>
          <w:noProof/>
        </w:rPr>
      </w:r>
      <w:r>
        <w:rPr>
          <w:noProof/>
        </w:rPr>
        <w:fldChar w:fldCharType="separate"/>
      </w:r>
      <w:r>
        <w:rPr>
          <w:noProof/>
        </w:rPr>
        <w:t>68</w:t>
      </w:r>
      <w:r>
        <w:rPr>
          <w:noProof/>
        </w:rPr>
        <w:fldChar w:fldCharType="end"/>
      </w:r>
    </w:p>
    <w:p w14:paraId="3F81566B" w14:textId="09D95949" w:rsidR="005732C6" w:rsidRDefault="005732C6">
      <w:pPr>
        <w:pStyle w:val="Tabledesillustrations"/>
        <w:tabs>
          <w:tab w:val="right" w:leader="dot" w:pos="10196"/>
        </w:tabs>
        <w:rPr>
          <w:noProof/>
        </w:rPr>
      </w:pPr>
      <w:r>
        <w:rPr>
          <w:noProof/>
        </w:rPr>
        <w:t>Figure 46 : Cartographie des principales surfaces de toitures et de parkings  pouvant être équipées de photovoltaïque – Saint-Lambert</w:t>
      </w:r>
      <w:r>
        <w:rPr>
          <w:noProof/>
        </w:rPr>
        <w:tab/>
      </w:r>
      <w:r>
        <w:rPr>
          <w:noProof/>
        </w:rPr>
        <w:fldChar w:fldCharType="begin"/>
      </w:r>
      <w:r>
        <w:rPr>
          <w:noProof/>
        </w:rPr>
        <w:instrText xml:space="preserve"> PAGEREF _Toc129786601 \h </w:instrText>
      </w:r>
      <w:r>
        <w:rPr>
          <w:noProof/>
        </w:rPr>
      </w:r>
      <w:r>
        <w:rPr>
          <w:noProof/>
        </w:rPr>
        <w:fldChar w:fldCharType="separate"/>
      </w:r>
      <w:r>
        <w:rPr>
          <w:noProof/>
        </w:rPr>
        <w:t>68</w:t>
      </w:r>
      <w:r>
        <w:rPr>
          <w:noProof/>
        </w:rPr>
        <w:fldChar w:fldCharType="end"/>
      </w:r>
    </w:p>
    <w:p w14:paraId="5FDD0C67" w14:textId="62D35F46" w:rsidR="005732C6" w:rsidRDefault="005732C6">
      <w:pPr>
        <w:pStyle w:val="Tabledesillustrations"/>
        <w:tabs>
          <w:tab w:val="right" w:leader="dot" w:pos="10196"/>
        </w:tabs>
        <w:rPr>
          <w:noProof/>
        </w:rPr>
      </w:pPr>
      <w:r>
        <w:rPr>
          <w:noProof/>
        </w:rPr>
        <w:t xml:space="preserve"> Figure 47 : Cartographie des principales surfaces de toitures et de parkings  pouvant être équipées de photovoltaïque – Saint-Forget</w:t>
      </w:r>
      <w:r>
        <w:rPr>
          <w:noProof/>
        </w:rPr>
        <w:tab/>
      </w:r>
      <w:r>
        <w:rPr>
          <w:noProof/>
        </w:rPr>
        <w:fldChar w:fldCharType="begin"/>
      </w:r>
      <w:r>
        <w:rPr>
          <w:noProof/>
        </w:rPr>
        <w:instrText xml:space="preserve"> PAGEREF _Toc129786602 \h </w:instrText>
      </w:r>
      <w:r>
        <w:rPr>
          <w:noProof/>
        </w:rPr>
      </w:r>
      <w:r>
        <w:rPr>
          <w:noProof/>
        </w:rPr>
        <w:fldChar w:fldCharType="separate"/>
      </w:r>
      <w:r>
        <w:rPr>
          <w:noProof/>
        </w:rPr>
        <w:t>69</w:t>
      </w:r>
      <w:r>
        <w:rPr>
          <w:noProof/>
        </w:rPr>
        <w:fldChar w:fldCharType="end"/>
      </w:r>
    </w:p>
    <w:p w14:paraId="3E31BAD6" w14:textId="25008464" w:rsidR="005732C6" w:rsidRDefault="005732C6">
      <w:pPr>
        <w:pStyle w:val="Tabledesillustrations"/>
        <w:tabs>
          <w:tab w:val="right" w:leader="dot" w:pos="10196"/>
        </w:tabs>
        <w:rPr>
          <w:noProof/>
        </w:rPr>
      </w:pPr>
      <w:r>
        <w:rPr>
          <w:noProof/>
        </w:rPr>
        <w:t>Figure 48 : Cartographie des principales surfaces de toitures et de parkings  pouvant être équipées de photovoltaïque – Le Mesnil-Saint-Denis</w:t>
      </w:r>
      <w:r>
        <w:rPr>
          <w:noProof/>
        </w:rPr>
        <w:tab/>
      </w:r>
      <w:r>
        <w:rPr>
          <w:noProof/>
        </w:rPr>
        <w:fldChar w:fldCharType="begin"/>
      </w:r>
      <w:r>
        <w:rPr>
          <w:noProof/>
        </w:rPr>
        <w:instrText xml:space="preserve"> PAGEREF _Toc129786603 \h </w:instrText>
      </w:r>
      <w:r>
        <w:rPr>
          <w:noProof/>
        </w:rPr>
      </w:r>
      <w:r>
        <w:rPr>
          <w:noProof/>
        </w:rPr>
        <w:fldChar w:fldCharType="separate"/>
      </w:r>
      <w:r>
        <w:rPr>
          <w:noProof/>
        </w:rPr>
        <w:t>69</w:t>
      </w:r>
      <w:r>
        <w:rPr>
          <w:noProof/>
        </w:rPr>
        <w:fldChar w:fldCharType="end"/>
      </w:r>
    </w:p>
    <w:p w14:paraId="14D98168" w14:textId="1465A5FF" w:rsidR="005732C6" w:rsidRDefault="005732C6">
      <w:pPr>
        <w:pStyle w:val="Tabledesillustrations"/>
        <w:tabs>
          <w:tab w:val="right" w:leader="dot" w:pos="10196"/>
        </w:tabs>
        <w:rPr>
          <w:noProof/>
        </w:rPr>
      </w:pPr>
      <w:r>
        <w:rPr>
          <w:noProof/>
        </w:rPr>
        <w:t>Figure 49 : Cartographie des principales surfaces de toitures et de parkings  pouvant être équipées de photovoltaïque – Lévis-Saint-Nom</w:t>
      </w:r>
      <w:r>
        <w:rPr>
          <w:noProof/>
        </w:rPr>
        <w:tab/>
      </w:r>
      <w:r>
        <w:rPr>
          <w:noProof/>
        </w:rPr>
        <w:fldChar w:fldCharType="begin"/>
      </w:r>
      <w:r>
        <w:rPr>
          <w:noProof/>
        </w:rPr>
        <w:instrText xml:space="preserve"> PAGEREF _Toc129786604 \h </w:instrText>
      </w:r>
      <w:r>
        <w:rPr>
          <w:noProof/>
        </w:rPr>
      </w:r>
      <w:r>
        <w:rPr>
          <w:noProof/>
        </w:rPr>
        <w:fldChar w:fldCharType="separate"/>
      </w:r>
      <w:r>
        <w:rPr>
          <w:noProof/>
        </w:rPr>
        <w:t>70</w:t>
      </w:r>
      <w:r>
        <w:rPr>
          <w:noProof/>
        </w:rPr>
        <w:fldChar w:fldCharType="end"/>
      </w:r>
    </w:p>
    <w:p w14:paraId="77462834" w14:textId="04D74C61" w:rsidR="005732C6" w:rsidRDefault="005732C6">
      <w:pPr>
        <w:pStyle w:val="Tabledesillustrations"/>
        <w:tabs>
          <w:tab w:val="right" w:leader="dot" w:pos="10196"/>
        </w:tabs>
        <w:rPr>
          <w:noProof/>
        </w:rPr>
      </w:pPr>
      <w:r>
        <w:rPr>
          <w:noProof/>
        </w:rPr>
        <w:t>Figure 50 : Cartographie des principales surfaces de toitures et de parkings  pouvant être équipées de photovoltaïque – Dampierre-en-Yvelines</w:t>
      </w:r>
      <w:r>
        <w:rPr>
          <w:noProof/>
        </w:rPr>
        <w:tab/>
      </w:r>
      <w:r>
        <w:rPr>
          <w:noProof/>
        </w:rPr>
        <w:fldChar w:fldCharType="begin"/>
      </w:r>
      <w:r>
        <w:rPr>
          <w:noProof/>
        </w:rPr>
        <w:instrText xml:space="preserve"> PAGEREF _Toc129786605 \h </w:instrText>
      </w:r>
      <w:r>
        <w:rPr>
          <w:noProof/>
        </w:rPr>
      </w:r>
      <w:r>
        <w:rPr>
          <w:noProof/>
        </w:rPr>
        <w:fldChar w:fldCharType="separate"/>
      </w:r>
      <w:r>
        <w:rPr>
          <w:noProof/>
        </w:rPr>
        <w:t>70</w:t>
      </w:r>
      <w:r>
        <w:rPr>
          <w:noProof/>
        </w:rPr>
        <w:fldChar w:fldCharType="end"/>
      </w:r>
    </w:p>
    <w:p w14:paraId="59814049" w14:textId="1B5DDA19" w:rsidR="005732C6" w:rsidRDefault="005732C6">
      <w:pPr>
        <w:pStyle w:val="Tabledesillustrations"/>
        <w:tabs>
          <w:tab w:val="right" w:leader="dot" w:pos="10196"/>
        </w:tabs>
        <w:rPr>
          <w:noProof/>
        </w:rPr>
      </w:pPr>
      <w:r>
        <w:rPr>
          <w:noProof/>
        </w:rPr>
        <w:t>Figure 51 : Cartographie des principales surfaces de toitures et de parkings  pouvant être équipées de photovoltaïque – Choisel</w:t>
      </w:r>
      <w:r>
        <w:rPr>
          <w:noProof/>
        </w:rPr>
        <w:tab/>
      </w:r>
      <w:r>
        <w:rPr>
          <w:noProof/>
        </w:rPr>
        <w:fldChar w:fldCharType="begin"/>
      </w:r>
      <w:r>
        <w:rPr>
          <w:noProof/>
        </w:rPr>
        <w:instrText xml:space="preserve"> PAGEREF _Toc129786606 \h </w:instrText>
      </w:r>
      <w:r>
        <w:rPr>
          <w:noProof/>
        </w:rPr>
      </w:r>
      <w:r>
        <w:rPr>
          <w:noProof/>
        </w:rPr>
        <w:fldChar w:fldCharType="separate"/>
      </w:r>
      <w:r>
        <w:rPr>
          <w:noProof/>
        </w:rPr>
        <w:t>71</w:t>
      </w:r>
      <w:r>
        <w:rPr>
          <w:noProof/>
        </w:rPr>
        <w:fldChar w:fldCharType="end"/>
      </w:r>
    </w:p>
    <w:p w14:paraId="76DB58C5" w14:textId="4E8C11DA" w:rsidR="00260EF0" w:rsidRDefault="00260EF0" w:rsidP="00B7744E">
      <w:r>
        <w:fldChar w:fldCharType="end"/>
      </w:r>
    </w:p>
    <w:p w14:paraId="22C8F149" w14:textId="4EECE171" w:rsidR="00260EF0" w:rsidRPr="00B7744E" w:rsidRDefault="00260EF0" w:rsidP="00260EF0">
      <w:pPr>
        <w:spacing w:after="200" w:line="276" w:lineRule="auto"/>
        <w:jc w:val="left"/>
      </w:pPr>
    </w:p>
    <w:sectPr w:rsidR="00260EF0" w:rsidRPr="00B7744E" w:rsidSect="009F1A6D">
      <w:pgSz w:w="11907" w:h="16839"/>
      <w:pgMar w:top="966" w:right="992" w:bottom="1134" w:left="709" w:header="11" w:footer="4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4" w:author="Julie ROY" w:date="2023-03-07T17:03:00Z" w:initials="JR">
    <w:p w14:paraId="2CB7AEA1" w14:textId="77777777" w:rsidR="00F3359E" w:rsidRDefault="00BE1934">
      <w:pPr>
        <w:pStyle w:val="Commentaire"/>
        <w:jc w:val="left"/>
      </w:pPr>
      <w:r>
        <w:rPr>
          <w:rStyle w:val="Marquedecommentaire"/>
        </w:rPr>
        <w:annotationRef/>
      </w:r>
      <w:r w:rsidR="00F3359E">
        <w:t>Données ENEDIS 2021 réceptionnées le 6 mars : 65 installations PV pour 114 MWh de production annuelle</w:t>
      </w:r>
    </w:p>
    <w:p w14:paraId="1B16615E" w14:textId="0E468C6F" w:rsidR="00F3359E" w:rsidRDefault="00F3359E" w:rsidP="00BB2664">
      <w:pPr>
        <w:pStyle w:val="Commentaire"/>
        <w:jc w:val="left"/>
      </w:pPr>
      <w:r>
        <w:rPr>
          <w:noProof/>
        </w:rPr>
        <w:drawing>
          <wp:inline distT="0" distB="0" distL="0" distR="0" wp14:anchorId="43863911" wp14:editId="6695C045">
            <wp:extent cx="6211167" cy="2295845"/>
            <wp:effectExtent l="0" t="0" r="0" b="9525"/>
            <wp:docPr id="7179" name="Image 71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Image 7168" descr="Image"/>
                    <pic:cNvPicPr/>
                  </pic:nvPicPr>
                  <pic:blipFill>
                    <a:blip r:embed="rId1">
                      <a:extLst>
                        <a:ext uri="{28A0092B-C50C-407E-A947-70E740481C1C}">
                          <a14:useLocalDpi xmlns:a14="http://schemas.microsoft.com/office/drawing/2010/main" val="0"/>
                        </a:ext>
                      </a:extLst>
                    </a:blip>
                    <a:stretch>
                      <a:fillRect/>
                    </a:stretch>
                  </pic:blipFill>
                  <pic:spPr>
                    <a:xfrm>
                      <a:off x="0" y="0"/>
                      <a:ext cx="6211167" cy="2295845"/>
                    </a:xfrm>
                    <a:prstGeom prst="rect">
                      <a:avLst/>
                    </a:prstGeom>
                  </pic:spPr>
                </pic:pic>
              </a:graphicData>
            </a:graphic>
          </wp:inline>
        </w:drawing>
      </w:r>
    </w:p>
  </w:comment>
  <w:comment w:id="66" w:author="Julie ROY" w:date="2023-01-30T16:16:00Z" w:initials="JR">
    <w:p w14:paraId="3C0BE6E7" w14:textId="77777777" w:rsidR="00D56558" w:rsidRDefault="00CC02E9" w:rsidP="00CF4293">
      <w:pPr>
        <w:pStyle w:val="Commentaire"/>
        <w:jc w:val="left"/>
      </w:pPr>
      <w:r>
        <w:rPr>
          <w:rStyle w:val="Marquedecommentaire"/>
        </w:rPr>
        <w:annotationRef/>
      </w:r>
      <w:r w:rsidR="00D56558">
        <w:t xml:space="preserve">En attente des éléments relatifs à la PAC sur rivière de la part de la DGS adjointe (4e relance le 13 mars). Non réception des éléments malgré plusieurs relances dont une de Mme Arnoult.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B16615E" w15:done="0"/>
  <w15:commentEx w15:paraId="3C0BE6E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1ECD4" w16cex:dateUtc="2023-03-07T16: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B16615E" w16cid:durableId="27B1ECD4"/>
  <w16cid:commentId w16cid:paraId="3C0BE6E7" w16cid:durableId="27A75C1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FCE67A" w14:textId="77777777" w:rsidR="00D1223D" w:rsidRDefault="00D1223D" w:rsidP="00ED4622">
      <w:r>
        <w:separator/>
      </w:r>
    </w:p>
  </w:endnote>
  <w:endnote w:type="continuationSeparator" w:id="0">
    <w:p w14:paraId="460643EF" w14:textId="77777777" w:rsidR="00D1223D" w:rsidRDefault="00D1223D" w:rsidP="00ED46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utura-Medium">
    <w:altName w:val="Arial"/>
    <w:panose1 w:val="020B0600000000000000"/>
    <w:charset w:val="00"/>
    <w:family w:val="swiss"/>
    <w:pitch w:val="variable"/>
    <w:sig w:usb0="80000867" w:usb1="00000000" w:usb2="00000000" w:usb3="00000000" w:csb0="000001FB" w:csb1="00000000"/>
  </w:font>
  <w:font w:name="Futura Medium">
    <w:altName w:val="Arial"/>
    <w:charset w:val="B1"/>
    <w:family w:val="swiss"/>
    <w:pitch w:val="variable"/>
    <w:sig w:usb0="80000867" w:usb1="00000000" w:usb2="00000000" w:usb3="00000000" w:csb0="000001F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ontserrat">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 w:name="Myriad Pro">
    <w:altName w:val="Calibr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A04EB" w14:textId="0BF16AB9" w:rsidR="00CC02E9" w:rsidRPr="009B35D7" w:rsidRDefault="00CC02E9" w:rsidP="00ED4622">
    <w:pPr>
      <w:pStyle w:val="Pieddepage"/>
    </w:pPr>
    <w:r>
      <w:rPr>
        <w:noProof/>
      </w:rPr>
      <w:drawing>
        <wp:anchor distT="0" distB="0" distL="114300" distR="114300" simplePos="0" relativeHeight="251661311" behindDoc="1" locked="0" layoutInCell="1" allowOverlap="1" wp14:anchorId="1C572281" wp14:editId="1A204F12">
          <wp:simplePos x="0" y="0"/>
          <wp:positionH relativeFrom="page">
            <wp:align>left</wp:align>
          </wp:positionH>
          <wp:positionV relativeFrom="page">
            <wp:posOffset>9791701</wp:posOffset>
          </wp:positionV>
          <wp:extent cx="7557403" cy="899160"/>
          <wp:effectExtent l="0" t="0" r="5715"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bas-de-page.png"/>
                  <pic:cNvPicPr/>
                </pic:nvPicPr>
                <pic:blipFill>
                  <a:blip r:embed="rId1">
                    <a:extLst>
                      <a:ext uri="{28A0092B-C50C-407E-A947-70E740481C1C}">
                        <a14:useLocalDpi xmlns:a14="http://schemas.microsoft.com/office/drawing/2010/main" val="0"/>
                      </a:ext>
                    </a:extLst>
                  </a:blip>
                  <a:stretch>
                    <a:fillRect/>
                  </a:stretch>
                </pic:blipFill>
                <pic:spPr>
                  <a:xfrm>
                    <a:off x="0" y="0"/>
                    <a:ext cx="7557403" cy="899160"/>
                  </a:xfrm>
                  <a:prstGeom prst="rect">
                    <a:avLst/>
                  </a:prstGeom>
                </pic:spPr>
              </pic:pic>
            </a:graphicData>
          </a:graphic>
          <wp14:sizeRelH relativeFrom="page">
            <wp14:pctWidth>0</wp14:pctWidth>
          </wp14:sizeRelH>
          <wp14:sizeRelV relativeFrom="page">
            <wp14:pctHeight>0</wp14:pctHeight>
          </wp14:sizeRelV>
        </wp:anchor>
      </w:drawing>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5968A" w14:textId="77777777" w:rsidR="00CC02E9" w:rsidRPr="00D318C8" w:rsidRDefault="00CC02E9" w:rsidP="00ED4622">
    <w:pPr>
      <w:pStyle w:val="Pieddepage"/>
      <w:rPr>
        <w:rStyle w:val="Numrodepage"/>
        <w:color w:val="auto"/>
      </w:rPr>
    </w:pPr>
    <w:r w:rsidRPr="00DC1222">
      <w:rPr>
        <w:rStyle w:val="Numrodepage"/>
        <w:color w:val="auto"/>
      </w:rPr>
      <w:fldChar w:fldCharType="begin"/>
    </w:r>
    <w:r w:rsidRPr="00D318C8">
      <w:rPr>
        <w:rStyle w:val="Numrodepage"/>
        <w:color w:val="auto"/>
      </w:rPr>
      <w:instrText xml:space="preserve">PAGE  </w:instrText>
    </w:r>
    <w:r w:rsidRPr="00DC1222">
      <w:rPr>
        <w:rStyle w:val="Numrodepage"/>
        <w:color w:val="auto"/>
      </w:rPr>
      <w:fldChar w:fldCharType="separate"/>
    </w:r>
    <w:r>
      <w:rPr>
        <w:rStyle w:val="Numrodepage"/>
        <w:color w:val="auto"/>
      </w:rPr>
      <w:t>1</w:t>
    </w:r>
    <w:r w:rsidRPr="00DC1222">
      <w:rPr>
        <w:rStyle w:val="Numrodepage"/>
        <w:color w:val="auto"/>
      </w:rPr>
      <w:fldChar w:fldCharType="end"/>
    </w:r>
    <w:r>
      <w:rPr>
        <w:rStyle w:val="Numrodepage"/>
        <w:color w:val="auto"/>
      </w:rPr>
      <w:t>/5</w:t>
    </w:r>
  </w:p>
  <w:p w14:paraId="105D011B" w14:textId="77777777" w:rsidR="00CC02E9" w:rsidRPr="00D318C8" w:rsidRDefault="00CC02E9" w:rsidP="00ED4622">
    <w:r w:rsidRPr="00D318C8">
      <w:t>AKAJOULE</w:t>
    </w:r>
    <w:r w:rsidRPr="00D318C8">
      <w:br/>
      <w:t xml:space="preserve">CIL, 1 bd Paul </w:t>
    </w:r>
    <w:proofErr w:type="spellStart"/>
    <w:r w:rsidRPr="00D318C8">
      <w:t>Leferme</w:t>
    </w:r>
    <w:proofErr w:type="spellEnd"/>
    <w:r w:rsidRPr="00D318C8">
      <w:t> 44600 Saint - Nazaire</w:t>
    </w:r>
    <w:r w:rsidRPr="00D318C8">
      <w:br/>
      <w:t>Téléphone : 02 40 53 06 61 - Fax : 02 40 66 54 78 - </w:t>
    </w:r>
    <w:hyperlink r:id="rId1" w:tgtFrame="_blank" w:history="1">
      <w:r w:rsidRPr="00D318C8">
        <w:rPr>
          <w:color w:val="2A5DB0"/>
          <w:u w:val="single"/>
        </w:rPr>
        <w:t>www.akajoule.com</w:t>
      </w:r>
    </w:hyperlink>
  </w:p>
  <w:p w14:paraId="5B001B89" w14:textId="77777777" w:rsidR="00CC02E9" w:rsidRPr="00D318C8" w:rsidRDefault="00CC02E9" w:rsidP="00ED4622">
    <w:r w:rsidRPr="00D318C8">
      <w:t>SOCIETE PAR ACTIONS SIMPLIFIEE AU CAPITAL DE 40 000 €</w:t>
    </w:r>
  </w:p>
  <w:p w14:paraId="2E2D2F7C" w14:textId="77777777" w:rsidR="00CC02E9" w:rsidRPr="00C4368C" w:rsidRDefault="00CC02E9" w:rsidP="00ED4622">
    <w:r w:rsidRPr="00C4368C">
      <w:t>SIRET 521 436 949 00015 RCS SAINT NAZAIRE</w:t>
    </w:r>
  </w:p>
  <w:p w14:paraId="16838449" w14:textId="77777777" w:rsidR="00CC02E9" w:rsidRDefault="00CC02E9" w:rsidP="00ED4622">
    <w:pPr>
      <w:pStyle w:val="Pieddepage"/>
    </w:pPr>
  </w:p>
  <w:p w14:paraId="4E76AEFF" w14:textId="77777777" w:rsidR="00CC02E9" w:rsidRDefault="00CC02E9" w:rsidP="00ED462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0BB10" w14:textId="0238248F" w:rsidR="00CC02E9" w:rsidRPr="00E442DC" w:rsidRDefault="00CC02E9" w:rsidP="00E442DC">
    <w:pPr>
      <w:pStyle w:val="Pieddepage"/>
      <w:jc w:val="right"/>
      <w:rPr>
        <w:sz w:val="20"/>
        <w:szCs w:val="20"/>
      </w:rPr>
    </w:pPr>
    <w:r w:rsidRPr="00E442DC">
      <w:rPr>
        <w:color w:val="3B3838" w:themeColor="background2" w:themeShade="40"/>
        <w:sz w:val="20"/>
        <w:szCs w:val="20"/>
      </w:rPr>
      <w:fldChar w:fldCharType="begin"/>
    </w:r>
    <w:r w:rsidRPr="00E442DC">
      <w:rPr>
        <w:color w:val="3B3838" w:themeColor="background2" w:themeShade="40"/>
        <w:sz w:val="20"/>
        <w:szCs w:val="20"/>
      </w:rPr>
      <w:instrText xml:space="preserve"> PAGE   \* MERGEFORMAT </w:instrText>
    </w:r>
    <w:r w:rsidRPr="00E442DC">
      <w:rPr>
        <w:color w:val="3B3838" w:themeColor="background2" w:themeShade="40"/>
        <w:sz w:val="20"/>
        <w:szCs w:val="20"/>
      </w:rPr>
      <w:fldChar w:fldCharType="separate"/>
    </w:r>
    <w:r w:rsidR="00014246">
      <w:rPr>
        <w:noProof/>
        <w:color w:val="3B3838" w:themeColor="background2" w:themeShade="40"/>
        <w:sz w:val="20"/>
        <w:szCs w:val="20"/>
      </w:rPr>
      <w:t>4</w:t>
    </w:r>
    <w:r w:rsidRPr="00E442DC">
      <w:rPr>
        <w:color w:val="3B3838" w:themeColor="background2" w:themeShade="40"/>
        <w:sz w:val="20"/>
        <w:szCs w:val="20"/>
      </w:rPr>
      <w:fldChar w:fldCharType="end"/>
    </w:r>
    <w:r w:rsidRPr="00E442DC">
      <w:rPr>
        <w:noProof/>
        <w:sz w:val="20"/>
        <w:szCs w:val="20"/>
      </w:rPr>
      <w:drawing>
        <wp:anchor distT="0" distB="0" distL="114300" distR="114300" simplePos="0" relativeHeight="251672576" behindDoc="1" locked="1" layoutInCell="1" allowOverlap="1" wp14:anchorId="3B7DC65F" wp14:editId="3671CF60">
          <wp:simplePos x="0" y="0"/>
          <wp:positionH relativeFrom="page">
            <wp:align>left</wp:align>
          </wp:positionH>
          <wp:positionV relativeFrom="page">
            <wp:align>bottom</wp:align>
          </wp:positionV>
          <wp:extent cx="7581600" cy="482400"/>
          <wp:effectExtent l="0" t="0" r="63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s-de-page - portrait - test.png"/>
                  <pic:cNvPicPr/>
                </pic:nvPicPr>
                <pic:blipFill>
                  <a:blip r:embed="rId1">
                    <a:extLst>
                      <a:ext uri="{28A0092B-C50C-407E-A947-70E740481C1C}">
                        <a14:useLocalDpi xmlns:a14="http://schemas.microsoft.com/office/drawing/2010/main" val="0"/>
                      </a:ext>
                    </a:extLst>
                  </a:blip>
                  <a:stretch>
                    <a:fillRect/>
                  </a:stretch>
                </pic:blipFill>
                <pic:spPr>
                  <a:xfrm>
                    <a:off x="0" y="0"/>
                    <a:ext cx="7581600" cy="482400"/>
                  </a:xfrm>
                  <a:prstGeom prst="rect">
                    <a:avLst/>
                  </a:prstGeom>
                </pic:spPr>
              </pic:pic>
            </a:graphicData>
          </a:graphic>
          <wp14:sizeRelH relativeFrom="margin">
            <wp14:pctWidth>0</wp14:pctWidth>
          </wp14:sizeRelH>
          <wp14:sizeRelV relativeFrom="margin">
            <wp14:pctHeight>0</wp14:pctHeight>
          </wp14:sizeRelV>
        </wp:anchor>
      </w:drawing>
    </w:r>
    <w:r w:rsidRPr="00E442DC">
      <w:rPr>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34EBB6" w14:textId="77777777" w:rsidR="00D1223D" w:rsidRDefault="00D1223D" w:rsidP="00ED4622">
      <w:r>
        <w:separator/>
      </w:r>
    </w:p>
  </w:footnote>
  <w:footnote w:type="continuationSeparator" w:id="0">
    <w:p w14:paraId="08FA33B9" w14:textId="77777777" w:rsidR="00D1223D" w:rsidRDefault="00D1223D" w:rsidP="00ED4622">
      <w:r>
        <w:continuationSeparator/>
      </w:r>
    </w:p>
  </w:footnote>
  <w:footnote w:id="1">
    <w:p w14:paraId="26826293" w14:textId="77777777" w:rsidR="00CC02E9" w:rsidRDefault="00CC02E9" w:rsidP="005C6E23">
      <w:pPr>
        <w:pStyle w:val="Notedebasdepage"/>
      </w:pPr>
      <w:r>
        <w:rPr>
          <w:rStyle w:val="Appelnotedebasdep"/>
        </w:rPr>
        <w:footnoteRef/>
      </w:r>
      <w:r>
        <w:t xml:space="preserve"> </w:t>
      </w:r>
      <w:r w:rsidRPr="00907BE7">
        <w:rPr>
          <w:sz w:val="18"/>
          <w:szCs w:val="18"/>
        </w:rPr>
        <w:t>Les estimations d’emplois créés par filières sont calculées à partir des chiffres donnés par l’ADEME dans le rapport « MARCHES ET EMPLOIS LIES A L’EFFICACITE ENERGETIQUE ET AUX ENERGIES RENOUVELABLES » mis à jour en 2019 et rapportés à la population de la CC Haute Vallée de Chevreuse pour les filières concernées.</w:t>
      </w:r>
    </w:p>
  </w:footnote>
  <w:footnote w:id="2">
    <w:p w14:paraId="6978FB78" w14:textId="633108F7" w:rsidR="007376C8" w:rsidRDefault="007376C8">
      <w:pPr>
        <w:pStyle w:val="Notedebasdepage"/>
      </w:pPr>
      <w:r>
        <w:rPr>
          <w:rStyle w:val="Appelnotedebasdep"/>
        </w:rPr>
        <w:footnoteRef/>
      </w:r>
      <w:r>
        <w:t xml:space="preserve"> </w:t>
      </w:r>
      <w:r w:rsidRPr="00EA1E3D">
        <w:rPr>
          <w:sz w:val="18"/>
          <w:szCs w:val="18"/>
        </w:rPr>
        <w:t>Source : Evaluation du gisement relatif aux zones délaissées et artificialisées propices à l’implantation de centrales photovoltaïques – ADEME 2019. Prise en compte d’un abattement de 15% des surfaces</w:t>
      </w:r>
      <w:r>
        <w:rPr>
          <w:sz w:val="18"/>
          <w:szCs w:val="18"/>
        </w:rPr>
        <w:t>.</w:t>
      </w:r>
    </w:p>
  </w:footnote>
  <w:footnote w:id="3">
    <w:p w14:paraId="798CBACE" w14:textId="77777777" w:rsidR="00CC02E9" w:rsidRDefault="00CC02E9" w:rsidP="00CD3156">
      <w:r>
        <w:rPr>
          <w:rStyle w:val="Appelnotedebasdep"/>
        </w:rPr>
        <w:footnoteRef/>
      </w:r>
      <w:r>
        <w:t xml:space="preserve"> </w:t>
      </w:r>
      <w:r w:rsidRPr="005C7BA2">
        <w:rPr>
          <w:sz w:val="18"/>
          <w:szCs w:val="20"/>
        </w:rPr>
        <w:t>D’autres consommateurs spécifiques sont habituellement à prendre en compte dans le potentiel solaire thermique, mais ceux-ci n’existent pas sur le territoire</w:t>
      </w:r>
      <w:r>
        <w:rPr>
          <w:sz w:val="18"/>
          <w:szCs w:val="20"/>
        </w:rPr>
        <w:t xml:space="preserve">, c’est la cas des </w:t>
      </w:r>
      <w:r w:rsidRPr="005C7BA2">
        <w:rPr>
          <w:sz w:val="18"/>
          <w:szCs w:val="20"/>
        </w:rPr>
        <w:t>campings.</w:t>
      </w:r>
    </w:p>
  </w:footnote>
  <w:footnote w:id="4">
    <w:p w14:paraId="2B08C7AA" w14:textId="77777777" w:rsidR="007A4741" w:rsidRDefault="007A4741" w:rsidP="007A4741">
      <w:pPr>
        <w:pStyle w:val="Notedebasdepage"/>
      </w:pPr>
      <w:r w:rsidRPr="00B12CF9">
        <w:rPr>
          <w:rStyle w:val="Appelnotedebasdep"/>
          <w:sz w:val="20"/>
        </w:rPr>
        <w:footnoteRef/>
      </w:r>
      <w:r w:rsidRPr="00B12CF9">
        <w:rPr>
          <w:sz w:val="20"/>
        </w:rPr>
        <w:t xml:space="preserve"> </w:t>
      </w:r>
      <w:r w:rsidRPr="00B12CF9">
        <w:rPr>
          <w:sz w:val="18"/>
          <w:szCs w:val="18"/>
        </w:rPr>
        <w:t>COP (coefficient de performance de la pompe à chaleur) pris à 2,5 : la pompe produit 2,5 fois plus de chaleur que ce qu’elle consomme en électricité</w:t>
      </w:r>
    </w:p>
  </w:footnote>
  <w:footnote w:id="5">
    <w:p w14:paraId="4F7A88B3" w14:textId="50CEE10A" w:rsidR="00CC02E9" w:rsidRDefault="00CC02E9" w:rsidP="00B7744E">
      <w:pPr>
        <w:pStyle w:val="Notedebasdepage"/>
      </w:pPr>
      <w:r w:rsidRPr="00866860">
        <w:rPr>
          <w:rStyle w:val="Appelnotedebasdep"/>
          <w:sz w:val="20"/>
        </w:rPr>
        <w:footnoteRef/>
      </w:r>
      <w:r w:rsidRPr="00866860">
        <w:rPr>
          <w:sz w:val="20"/>
        </w:rPr>
        <w:t xml:space="preserve"> </w:t>
      </w:r>
      <w:r w:rsidR="00EA1E3D" w:rsidRPr="00EA1E3D">
        <w:rPr>
          <w:sz w:val="18"/>
          <w:szCs w:val="18"/>
        </w:rPr>
        <w:t xml:space="preserve">Source : </w:t>
      </w:r>
      <w:hyperlink r:id="rId1" w:anchor=":~:text=Bois%20%C3%A9nergie%20consomm%C3%A9%20sur%20le%20territoire%20francilien&amp;text=Le%20reste%20du%20bois%20%C3%A9nergie,'%C3%8Ele%2Dde%2DFrance" w:history="1">
        <w:r w:rsidRPr="00EA1E3D">
          <w:rPr>
            <w:i/>
            <w:iCs/>
            <w:sz w:val="18"/>
            <w:szCs w:val="18"/>
          </w:rPr>
          <w:t xml:space="preserve">Les chiffres clés du bois énergie en Île-de-France | </w:t>
        </w:r>
        <w:proofErr w:type="spellStart"/>
        <w:r w:rsidRPr="00EA1E3D">
          <w:rPr>
            <w:i/>
            <w:iCs/>
            <w:sz w:val="18"/>
            <w:szCs w:val="18"/>
          </w:rPr>
          <w:t>FIBois</w:t>
        </w:r>
        <w:proofErr w:type="spellEnd"/>
        <w:r w:rsidRPr="00EA1E3D">
          <w:rPr>
            <w:i/>
            <w:iCs/>
            <w:sz w:val="18"/>
            <w:szCs w:val="18"/>
          </w:rPr>
          <w:t xml:space="preserve"> Ile-de-France L’interprofession francilienne de la forêt et du bois (fibois-idf.fr)</w:t>
        </w:r>
      </w:hyperlink>
      <w:r w:rsidR="00EA1E3D">
        <w:rPr>
          <w:i/>
          <w:iCs/>
          <w:sz w:val="18"/>
          <w:szCs w:val="18"/>
        </w:rPr>
        <w:t xml:space="preserve"> </w:t>
      </w:r>
    </w:p>
  </w:footnote>
  <w:footnote w:id="6">
    <w:p w14:paraId="30A586DE" w14:textId="039C37FD" w:rsidR="00CC02E9" w:rsidRPr="00EA1E3D" w:rsidRDefault="00CC02E9" w:rsidP="00B7744E">
      <w:pPr>
        <w:pStyle w:val="Notedebasdepage"/>
        <w:jc w:val="left"/>
        <w:rPr>
          <w:sz w:val="18"/>
          <w:szCs w:val="18"/>
        </w:rPr>
      </w:pPr>
      <w:r>
        <w:rPr>
          <w:rStyle w:val="Appelnotedebasdep"/>
        </w:rPr>
        <w:footnoteRef/>
      </w:r>
      <w:r>
        <w:t xml:space="preserve"> </w:t>
      </w:r>
      <w:r w:rsidRPr="00EA1E3D">
        <w:rPr>
          <w:sz w:val="18"/>
          <w:szCs w:val="18"/>
        </w:rPr>
        <w:t xml:space="preserve">Source : </w:t>
      </w:r>
      <w:r w:rsidR="009B0B1C">
        <w:rPr>
          <w:sz w:val="18"/>
          <w:szCs w:val="18"/>
        </w:rPr>
        <w:t xml:space="preserve">Synthèse – Etude des potentiels de production et de valorisation de chaleur fatale en Ile-de-France </w:t>
      </w:r>
      <w:r w:rsidR="00EA1E3D" w:rsidRPr="001E046C">
        <w:rPr>
          <w:sz w:val="18"/>
          <w:szCs w:val="18"/>
        </w:rPr>
        <w:t xml:space="preserve">- </w:t>
      </w:r>
      <w:hyperlink r:id="rId2" w:history="1">
        <w:r w:rsidR="001E046C" w:rsidRPr="001E046C">
          <w:rPr>
            <w:rStyle w:val="Lienhypertexte"/>
            <w:sz w:val="18"/>
            <w:szCs w:val="18"/>
          </w:rPr>
          <w:t>etude-potentiel-production-valorisation-chaleur-fatale-idf.pdf (ademe.fr)</w:t>
        </w:r>
      </w:hyperlink>
    </w:p>
  </w:footnote>
  <w:footnote w:id="7">
    <w:p w14:paraId="27372D26" w14:textId="77777777" w:rsidR="00CC02E9" w:rsidRDefault="00CC02E9" w:rsidP="002E437C">
      <w:pPr>
        <w:pStyle w:val="Notedebasdepage"/>
      </w:pPr>
      <w:r w:rsidRPr="002E437C">
        <w:rPr>
          <w:rStyle w:val="Appelnotedebasdep"/>
          <w:sz w:val="20"/>
        </w:rPr>
        <w:footnoteRef/>
      </w:r>
      <w:r w:rsidRPr="002E437C">
        <w:rPr>
          <w:sz w:val="20"/>
        </w:rPr>
        <w:t xml:space="preserve"> </w:t>
      </w:r>
      <w:hyperlink r:id="rId3" w:history="1">
        <w:r w:rsidRPr="00EA1E3D">
          <w:rPr>
            <w:rStyle w:val="Lienhypertexte"/>
            <w:rFonts w:cstheme="minorHAnsi"/>
            <w:color w:val="943515" w:themeColor="accent1" w:themeShade="BF"/>
            <w:sz w:val="18"/>
            <w:szCs w:val="18"/>
          </w:rPr>
          <w:t>Le droit à l’injection | grtgaz.com</w:t>
        </w:r>
      </w:hyperlink>
    </w:p>
  </w:footnote>
  <w:footnote w:id="8">
    <w:p w14:paraId="2F4261EE" w14:textId="77777777" w:rsidR="00CC02E9" w:rsidRPr="00EA1E3D" w:rsidRDefault="00CC02E9" w:rsidP="002E437C">
      <w:pPr>
        <w:pStyle w:val="Notedebasdepage"/>
        <w:rPr>
          <w:sz w:val="18"/>
          <w:szCs w:val="18"/>
          <w:lang w:val="en-GB"/>
        </w:rPr>
      </w:pPr>
      <w:r w:rsidRPr="00EF0CFD">
        <w:rPr>
          <w:rStyle w:val="Appelnotedebasdep"/>
        </w:rPr>
        <w:footnoteRef/>
      </w:r>
      <w:r w:rsidRPr="00EF0CFD">
        <w:rPr>
          <w:lang w:val="en-GB"/>
        </w:rPr>
        <w:t xml:space="preserve"> </w:t>
      </w:r>
      <w:proofErr w:type="gramStart"/>
      <w:r w:rsidRPr="00B12CF9">
        <w:rPr>
          <w:sz w:val="18"/>
          <w:szCs w:val="18"/>
          <w:lang w:val="en-GB"/>
        </w:rPr>
        <w:t>Source :</w:t>
      </w:r>
      <w:proofErr w:type="gramEnd"/>
      <w:r w:rsidRPr="00B12CF9">
        <w:rPr>
          <w:sz w:val="18"/>
          <w:szCs w:val="18"/>
          <w:lang w:val="en-GB"/>
        </w:rPr>
        <w:t xml:space="preserve"> SOLITES </w:t>
      </w:r>
      <w:proofErr w:type="spellStart"/>
      <w:r w:rsidRPr="00B12CF9">
        <w:rPr>
          <w:sz w:val="18"/>
          <w:szCs w:val="18"/>
          <w:lang w:val="en-GB"/>
        </w:rPr>
        <w:t>Steinbeis</w:t>
      </w:r>
      <w:proofErr w:type="spellEnd"/>
      <w:r w:rsidRPr="00B12CF9">
        <w:rPr>
          <w:sz w:val="18"/>
          <w:szCs w:val="18"/>
          <w:lang w:val="en-GB"/>
        </w:rPr>
        <w:t xml:space="preserve"> Research Institute for Solar and Sustainable Thermal Energy Systems</w:t>
      </w:r>
      <w:r w:rsidRPr="00EA1E3D">
        <w:rPr>
          <w:sz w:val="18"/>
          <w:szCs w:val="18"/>
          <w:lang w:val="en-GB"/>
        </w:rPr>
        <w:t xml:space="preserve"> </w:t>
      </w:r>
    </w:p>
  </w:footnote>
  <w:footnote w:id="9">
    <w:p w14:paraId="20B3BDA1" w14:textId="77777777" w:rsidR="00CC02E9" w:rsidRDefault="00CC02E9" w:rsidP="002E437C">
      <w:pPr>
        <w:pStyle w:val="Notedebasdepage"/>
      </w:pPr>
      <w:r w:rsidRPr="00EA1E3D">
        <w:rPr>
          <w:rStyle w:val="Appelnotedebasdep"/>
          <w:sz w:val="18"/>
          <w:szCs w:val="18"/>
        </w:rPr>
        <w:footnoteRef/>
      </w:r>
      <w:r w:rsidRPr="00EA1E3D">
        <w:rPr>
          <w:sz w:val="18"/>
          <w:szCs w:val="18"/>
        </w:rPr>
        <w:t xml:space="preserve"> </w:t>
      </w:r>
      <w:r w:rsidRPr="00B12CF9">
        <w:rPr>
          <w:sz w:val="18"/>
          <w:szCs w:val="18"/>
        </w:rPr>
        <w:t>Source : State of Green –site du gouvernement danois décrivant toutes ses innovations et installations d’énergie renouvelable</w:t>
      </w:r>
      <w:r>
        <w:t xml:space="preserve"> </w:t>
      </w:r>
    </w:p>
  </w:footnote>
  <w:footnote w:id="10">
    <w:p w14:paraId="2A7E9EFC" w14:textId="77777777" w:rsidR="00CC02E9" w:rsidRPr="00B12CF9" w:rsidRDefault="00CC02E9" w:rsidP="002E437C">
      <w:pPr>
        <w:pStyle w:val="Notedebasdepage"/>
        <w:rPr>
          <w:sz w:val="16"/>
          <w:szCs w:val="16"/>
        </w:rPr>
      </w:pPr>
      <w:r w:rsidRPr="00B12CF9">
        <w:rPr>
          <w:rStyle w:val="Appelnotedebasdep"/>
          <w:sz w:val="16"/>
          <w:szCs w:val="16"/>
        </w:rPr>
        <w:footnoteRef/>
      </w:r>
      <w:r w:rsidRPr="00B12CF9">
        <w:rPr>
          <w:sz w:val="16"/>
          <w:szCs w:val="16"/>
        </w:rPr>
        <w:t xml:space="preserve"> Source : Géothermie Perspectives</w:t>
      </w:r>
    </w:p>
  </w:footnote>
  <w:footnote w:id="11">
    <w:p w14:paraId="49D198F3" w14:textId="77777777" w:rsidR="00015ECC" w:rsidRPr="00EA1E3D" w:rsidRDefault="00015ECC" w:rsidP="00183574">
      <w:pPr>
        <w:pStyle w:val="Notedebasdepage"/>
        <w:spacing w:after="0"/>
        <w:rPr>
          <w:sz w:val="18"/>
          <w:szCs w:val="18"/>
        </w:rPr>
      </w:pPr>
      <w:r w:rsidRPr="00EA1E3D">
        <w:rPr>
          <w:rStyle w:val="Appelnotedebasdep"/>
          <w:sz w:val="18"/>
          <w:szCs w:val="18"/>
        </w:rPr>
        <w:footnoteRef/>
      </w:r>
      <w:r w:rsidRPr="00EA1E3D">
        <w:rPr>
          <w:sz w:val="18"/>
          <w:szCs w:val="18"/>
        </w:rPr>
        <w:t xml:space="preserve"> Source : Agence Régionale de la Santé (ARS Vendée – Pays-de-Loire) </w:t>
      </w:r>
    </w:p>
  </w:footnote>
  <w:footnote w:id="12">
    <w:p w14:paraId="08E589C2" w14:textId="77777777" w:rsidR="00015ECC" w:rsidRPr="00EA1E3D" w:rsidRDefault="00015ECC" w:rsidP="00183574">
      <w:pPr>
        <w:pStyle w:val="Notedebasdepage"/>
        <w:spacing w:after="0"/>
        <w:rPr>
          <w:sz w:val="18"/>
          <w:szCs w:val="18"/>
        </w:rPr>
      </w:pPr>
      <w:r w:rsidRPr="00EA1E3D">
        <w:rPr>
          <w:rStyle w:val="Appelnotedebasdep"/>
          <w:sz w:val="18"/>
          <w:szCs w:val="18"/>
        </w:rPr>
        <w:footnoteRef/>
      </w:r>
      <w:r w:rsidRPr="00EA1E3D">
        <w:rPr>
          <w:sz w:val="18"/>
          <w:szCs w:val="18"/>
        </w:rPr>
        <w:t xml:space="preserve"> Source : Les Chiffres clés du tourisme 2016 en Ariège - Agence de Développement touristique d’Ariège Pyrénées</w:t>
      </w:r>
    </w:p>
  </w:footnote>
  <w:footnote w:id="13">
    <w:p w14:paraId="68E28508" w14:textId="77777777" w:rsidR="00015ECC" w:rsidRDefault="00015ECC" w:rsidP="00183574">
      <w:pPr>
        <w:pStyle w:val="Notedebasdepage"/>
        <w:spacing w:after="0"/>
      </w:pPr>
      <w:r w:rsidRPr="00EA1E3D">
        <w:rPr>
          <w:rStyle w:val="Appelnotedebasdep"/>
          <w:sz w:val="18"/>
          <w:szCs w:val="18"/>
        </w:rPr>
        <w:footnoteRef/>
      </w:r>
      <w:r w:rsidRPr="00EA1E3D">
        <w:rPr>
          <w:sz w:val="18"/>
          <w:szCs w:val="18"/>
        </w:rPr>
        <w:t xml:space="preserve"> Source : constructeur de panneaux de solaire thermique Viessmann</w:t>
      </w:r>
    </w:p>
  </w:footnote>
  <w:footnote w:id="14">
    <w:p w14:paraId="55166E87" w14:textId="77777777" w:rsidR="00015ECC" w:rsidRPr="00EA1E3D" w:rsidRDefault="00015ECC" w:rsidP="00EA1E3D">
      <w:pPr>
        <w:pStyle w:val="Notedebasdepage"/>
        <w:spacing w:after="0"/>
        <w:rPr>
          <w:rStyle w:val="Appelnotedebasdep"/>
        </w:rPr>
      </w:pPr>
      <w:r w:rsidRPr="00EA1E3D">
        <w:rPr>
          <w:rStyle w:val="Appelnotedebasdep"/>
        </w:rPr>
        <w:footnoteRef/>
      </w:r>
      <w:r w:rsidRPr="00EA1E3D">
        <w:rPr>
          <w:rStyle w:val="Appelnotedebasdep"/>
        </w:rPr>
        <w:t xml:space="preserve"> Source : IFN – Inventaire Forestier National de 2013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2803E" w14:textId="391C1127" w:rsidR="00CC02E9" w:rsidRDefault="00CC02E9">
    <w:pPr>
      <w:pStyle w:val="En-tte"/>
    </w:pPr>
    <w:r>
      <w:rPr>
        <w:noProof/>
      </w:rPr>
      <w:drawing>
        <wp:anchor distT="0" distB="0" distL="114300" distR="114300" simplePos="0" relativeHeight="251673600" behindDoc="0" locked="0" layoutInCell="1" allowOverlap="1" wp14:anchorId="7D9AFFA5" wp14:editId="1E548923">
          <wp:simplePos x="0" y="0"/>
          <wp:positionH relativeFrom="page">
            <wp:align>left</wp:align>
          </wp:positionH>
          <wp:positionV relativeFrom="paragraph">
            <wp:posOffset>-6985</wp:posOffset>
          </wp:positionV>
          <wp:extent cx="7581600" cy="1162800"/>
          <wp:effectExtent l="0" t="0" r="635" b="0"/>
          <wp:wrapNone/>
          <wp:docPr id="13" name="Image 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7581600" cy="116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F8961" w14:textId="390C8F99" w:rsidR="00CC02E9" w:rsidRDefault="00CC02E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BA0A8" w14:textId="7925C53C" w:rsidR="00CC02E9" w:rsidRDefault="00CC02E9">
    <w:pPr>
      <w:pStyle w:val="En-tte"/>
    </w:pPr>
  </w:p>
  <w:p w14:paraId="064485FA" w14:textId="594D2878" w:rsidR="00CC02E9" w:rsidRDefault="00CC02E9">
    <w:pPr>
      <w:pStyle w:val="En-tte"/>
    </w:pPr>
  </w:p>
  <w:p w14:paraId="00166AED" w14:textId="77777777" w:rsidR="00CC02E9" w:rsidRDefault="00CC02E9">
    <w:pPr>
      <w:pStyle w:val="En-tte"/>
    </w:pPr>
  </w:p>
  <w:p w14:paraId="238BDD21" w14:textId="0DD46E0A" w:rsidR="00CC02E9" w:rsidRDefault="00CC02E9">
    <w:pPr>
      <w:pStyle w:val="En-tte"/>
    </w:pPr>
    <w:r>
      <w:rPr>
        <w:noProof/>
      </w:rPr>
      <w:drawing>
        <wp:anchor distT="0" distB="0" distL="114300" distR="114300" simplePos="0" relativeHeight="251675648" behindDoc="1" locked="1" layoutInCell="1" allowOverlap="1" wp14:anchorId="47AEFA14" wp14:editId="544DC7AA">
          <wp:simplePos x="0" y="0"/>
          <wp:positionH relativeFrom="page">
            <wp:align>left</wp:align>
          </wp:positionH>
          <wp:positionV relativeFrom="page">
            <wp:align>top</wp:align>
          </wp:positionV>
          <wp:extent cx="7581600" cy="1162800"/>
          <wp:effectExtent l="0" t="0" r="635" b="0"/>
          <wp:wrapNone/>
          <wp:docPr id="26" name="Image 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7581600" cy="116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46BC5" w14:textId="31EDC3B7" w:rsidR="00CC02E9" w:rsidRDefault="00CC02E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A6EA5"/>
    <w:multiLevelType w:val="hybridMultilevel"/>
    <w:tmpl w:val="F3408460"/>
    <w:lvl w:ilvl="0" w:tplc="DC6CD9D0">
      <w:start w:val="1"/>
      <w:numFmt w:val="bullet"/>
      <w:lvlText w:val=""/>
      <w:lvlJc w:val="left"/>
      <w:pPr>
        <w:ind w:left="720" w:hanging="360"/>
      </w:pPr>
      <w:rPr>
        <w:rFonts w:ascii="Symbol" w:hAnsi="Symbol"/>
      </w:rPr>
    </w:lvl>
    <w:lvl w:ilvl="1" w:tplc="A1C8F210">
      <w:start w:val="1"/>
      <w:numFmt w:val="bullet"/>
      <w:lvlText w:val=""/>
      <w:lvlJc w:val="left"/>
      <w:pPr>
        <w:ind w:left="720" w:hanging="360"/>
      </w:pPr>
      <w:rPr>
        <w:rFonts w:ascii="Symbol" w:hAnsi="Symbol"/>
      </w:rPr>
    </w:lvl>
    <w:lvl w:ilvl="2" w:tplc="186C4A3A">
      <w:start w:val="1"/>
      <w:numFmt w:val="bullet"/>
      <w:lvlText w:val=""/>
      <w:lvlJc w:val="left"/>
      <w:pPr>
        <w:ind w:left="720" w:hanging="360"/>
      </w:pPr>
      <w:rPr>
        <w:rFonts w:ascii="Symbol" w:hAnsi="Symbol"/>
      </w:rPr>
    </w:lvl>
    <w:lvl w:ilvl="3" w:tplc="20805764">
      <w:start w:val="1"/>
      <w:numFmt w:val="bullet"/>
      <w:lvlText w:val=""/>
      <w:lvlJc w:val="left"/>
      <w:pPr>
        <w:ind w:left="720" w:hanging="360"/>
      </w:pPr>
      <w:rPr>
        <w:rFonts w:ascii="Symbol" w:hAnsi="Symbol"/>
      </w:rPr>
    </w:lvl>
    <w:lvl w:ilvl="4" w:tplc="29785D46">
      <w:start w:val="1"/>
      <w:numFmt w:val="bullet"/>
      <w:lvlText w:val=""/>
      <w:lvlJc w:val="left"/>
      <w:pPr>
        <w:ind w:left="720" w:hanging="360"/>
      </w:pPr>
      <w:rPr>
        <w:rFonts w:ascii="Symbol" w:hAnsi="Symbol"/>
      </w:rPr>
    </w:lvl>
    <w:lvl w:ilvl="5" w:tplc="9F002E7A">
      <w:start w:val="1"/>
      <w:numFmt w:val="bullet"/>
      <w:lvlText w:val=""/>
      <w:lvlJc w:val="left"/>
      <w:pPr>
        <w:ind w:left="720" w:hanging="360"/>
      </w:pPr>
      <w:rPr>
        <w:rFonts w:ascii="Symbol" w:hAnsi="Symbol"/>
      </w:rPr>
    </w:lvl>
    <w:lvl w:ilvl="6" w:tplc="569E7564">
      <w:start w:val="1"/>
      <w:numFmt w:val="bullet"/>
      <w:lvlText w:val=""/>
      <w:lvlJc w:val="left"/>
      <w:pPr>
        <w:ind w:left="720" w:hanging="360"/>
      </w:pPr>
      <w:rPr>
        <w:rFonts w:ascii="Symbol" w:hAnsi="Symbol"/>
      </w:rPr>
    </w:lvl>
    <w:lvl w:ilvl="7" w:tplc="F9F0052C">
      <w:start w:val="1"/>
      <w:numFmt w:val="bullet"/>
      <w:lvlText w:val=""/>
      <w:lvlJc w:val="left"/>
      <w:pPr>
        <w:ind w:left="720" w:hanging="360"/>
      </w:pPr>
      <w:rPr>
        <w:rFonts w:ascii="Symbol" w:hAnsi="Symbol"/>
      </w:rPr>
    </w:lvl>
    <w:lvl w:ilvl="8" w:tplc="E48EE1BA">
      <w:start w:val="1"/>
      <w:numFmt w:val="bullet"/>
      <w:lvlText w:val=""/>
      <w:lvlJc w:val="left"/>
      <w:pPr>
        <w:ind w:left="720" w:hanging="360"/>
      </w:pPr>
      <w:rPr>
        <w:rFonts w:ascii="Symbol" w:hAnsi="Symbol"/>
      </w:rPr>
    </w:lvl>
  </w:abstractNum>
  <w:abstractNum w:abstractNumId="1" w15:restartNumberingAfterBreak="0">
    <w:nsid w:val="06B57F3D"/>
    <w:multiLevelType w:val="hybridMultilevel"/>
    <w:tmpl w:val="F5F2EB5C"/>
    <w:lvl w:ilvl="0" w:tplc="A6B27E48">
      <w:start w:val="1"/>
      <w:numFmt w:val="bullet"/>
      <w:lvlText w:val="-"/>
      <w:lvlJc w:val="left"/>
      <w:pPr>
        <w:ind w:left="720" w:hanging="360"/>
      </w:pPr>
      <w:rPr>
        <w:rFonts w:ascii="Calibri" w:eastAsia="Batang"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1076EE8"/>
    <w:multiLevelType w:val="hybridMultilevel"/>
    <w:tmpl w:val="FF4A4890"/>
    <w:lvl w:ilvl="0" w:tplc="ECE256EA">
      <w:start w:val="3"/>
      <w:numFmt w:val="bullet"/>
      <w:lvlText w:val="-"/>
      <w:lvlJc w:val="left"/>
      <w:pPr>
        <w:ind w:left="720" w:hanging="360"/>
      </w:pPr>
      <w:rPr>
        <w:rFonts w:ascii="Calibri" w:eastAsiaTheme="minorHAnsi" w:hAnsi="Calibri" w:cstheme="minorBidi"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A33E65"/>
    <w:multiLevelType w:val="hybridMultilevel"/>
    <w:tmpl w:val="A7DC474A"/>
    <w:lvl w:ilvl="0" w:tplc="311C66D0">
      <w:start w:val="5"/>
      <w:numFmt w:val="bullet"/>
      <w:lvlText w:val="-"/>
      <w:lvlJc w:val="left"/>
      <w:pPr>
        <w:ind w:left="720" w:hanging="360"/>
      </w:pPr>
      <w:rPr>
        <w:rFonts w:ascii="Calibri" w:eastAsia="Batang"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B5F32D7"/>
    <w:multiLevelType w:val="hybridMultilevel"/>
    <w:tmpl w:val="EEF85A6A"/>
    <w:lvl w:ilvl="0" w:tplc="ECE256EA">
      <w:start w:val="3"/>
      <w:numFmt w:val="bullet"/>
      <w:lvlText w:val="-"/>
      <w:lvlJc w:val="left"/>
      <w:pPr>
        <w:ind w:left="720" w:hanging="360"/>
      </w:pPr>
      <w:rPr>
        <w:rFonts w:ascii="Calibri" w:eastAsiaTheme="minorHAnsi" w:hAnsi="Calibri" w:cstheme="minorBidi" w:hint="default"/>
      </w:rPr>
    </w:lvl>
    <w:lvl w:ilvl="1" w:tplc="040C0005">
      <w:start w:val="1"/>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15:restartNumberingAfterBreak="0">
    <w:nsid w:val="24D772E3"/>
    <w:multiLevelType w:val="hybridMultilevel"/>
    <w:tmpl w:val="A096319A"/>
    <w:lvl w:ilvl="0" w:tplc="505A1A3E">
      <w:start w:val="1"/>
      <w:numFmt w:val="bullet"/>
      <w:lvlText w:val=""/>
      <w:lvlJc w:val="left"/>
      <w:pPr>
        <w:ind w:left="720" w:hanging="360"/>
      </w:pPr>
      <w:rPr>
        <w:rFonts w:ascii="Symbol" w:hAnsi="Symbol"/>
      </w:rPr>
    </w:lvl>
    <w:lvl w:ilvl="1" w:tplc="20468EA0">
      <w:start w:val="1"/>
      <w:numFmt w:val="bullet"/>
      <w:lvlText w:val=""/>
      <w:lvlJc w:val="left"/>
      <w:pPr>
        <w:ind w:left="720" w:hanging="360"/>
      </w:pPr>
      <w:rPr>
        <w:rFonts w:ascii="Symbol" w:hAnsi="Symbol"/>
      </w:rPr>
    </w:lvl>
    <w:lvl w:ilvl="2" w:tplc="1FD2FE56">
      <w:start w:val="1"/>
      <w:numFmt w:val="bullet"/>
      <w:lvlText w:val=""/>
      <w:lvlJc w:val="left"/>
      <w:pPr>
        <w:ind w:left="720" w:hanging="360"/>
      </w:pPr>
      <w:rPr>
        <w:rFonts w:ascii="Symbol" w:hAnsi="Symbol"/>
      </w:rPr>
    </w:lvl>
    <w:lvl w:ilvl="3" w:tplc="BDE0D14A">
      <w:start w:val="1"/>
      <w:numFmt w:val="bullet"/>
      <w:lvlText w:val=""/>
      <w:lvlJc w:val="left"/>
      <w:pPr>
        <w:ind w:left="720" w:hanging="360"/>
      </w:pPr>
      <w:rPr>
        <w:rFonts w:ascii="Symbol" w:hAnsi="Symbol"/>
      </w:rPr>
    </w:lvl>
    <w:lvl w:ilvl="4" w:tplc="9B26A1C6">
      <w:start w:val="1"/>
      <w:numFmt w:val="bullet"/>
      <w:lvlText w:val=""/>
      <w:lvlJc w:val="left"/>
      <w:pPr>
        <w:ind w:left="720" w:hanging="360"/>
      </w:pPr>
      <w:rPr>
        <w:rFonts w:ascii="Symbol" w:hAnsi="Symbol"/>
      </w:rPr>
    </w:lvl>
    <w:lvl w:ilvl="5" w:tplc="B5B8D868">
      <w:start w:val="1"/>
      <w:numFmt w:val="bullet"/>
      <w:lvlText w:val=""/>
      <w:lvlJc w:val="left"/>
      <w:pPr>
        <w:ind w:left="720" w:hanging="360"/>
      </w:pPr>
      <w:rPr>
        <w:rFonts w:ascii="Symbol" w:hAnsi="Symbol"/>
      </w:rPr>
    </w:lvl>
    <w:lvl w:ilvl="6" w:tplc="96A27430">
      <w:start w:val="1"/>
      <w:numFmt w:val="bullet"/>
      <w:lvlText w:val=""/>
      <w:lvlJc w:val="left"/>
      <w:pPr>
        <w:ind w:left="720" w:hanging="360"/>
      </w:pPr>
      <w:rPr>
        <w:rFonts w:ascii="Symbol" w:hAnsi="Symbol"/>
      </w:rPr>
    </w:lvl>
    <w:lvl w:ilvl="7" w:tplc="C68428B8">
      <w:start w:val="1"/>
      <w:numFmt w:val="bullet"/>
      <w:lvlText w:val=""/>
      <w:lvlJc w:val="left"/>
      <w:pPr>
        <w:ind w:left="720" w:hanging="360"/>
      </w:pPr>
      <w:rPr>
        <w:rFonts w:ascii="Symbol" w:hAnsi="Symbol"/>
      </w:rPr>
    </w:lvl>
    <w:lvl w:ilvl="8" w:tplc="90F6B57C">
      <w:start w:val="1"/>
      <w:numFmt w:val="bullet"/>
      <w:lvlText w:val=""/>
      <w:lvlJc w:val="left"/>
      <w:pPr>
        <w:ind w:left="720" w:hanging="360"/>
      </w:pPr>
      <w:rPr>
        <w:rFonts w:ascii="Symbol" w:hAnsi="Symbol"/>
      </w:rPr>
    </w:lvl>
  </w:abstractNum>
  <w:abstractNum w:abstractNumId="6" w15:restartNumberingAfterBreak="0">
    <w:nsid w:val="30EB7335"/>
    <w:multiLevelType w:val="hybridMultilevel"/>
    <w:tmpl w:val="17125702"/>
    <w:lvl w:ilvl="0" w:tplc="5570FC20">
      <w:start w:val="1"/>
      <w:numFmt w:val="bullet"/>
      <w:lvlText w:val=""/>
      <w:lvlJc w:val="left"/>
      <w:pPr>
        <w:ind w:left="720" w:hanging="360"/>
      </w:pPr>
      <w:rPr>
        <w:rFonts w:ascii="Symbol" w:hAnsi="Symbol"/>
      </w:rPr>
    </w:lvl>
    <w:lvl w:ilvl="1" w:tplc="1158DD40">
      <w:start w:val="1"/>
      <w:numFmt w:val="bullet"/>
      <w:lvlText w:val=""/>
      <w:lvlJc w:val="left"/>
      <w:pPr>
        <w:ind w:left="720" w:hanging="360"/>
      </w:pPr>
      <w:rPr>
        <w:rFonts w:ascii="Symbol" w:hAnsi="Symbol"/>
      </w:rPr>
    </w:lvl>
    <w:lvl w:ilvl="2" w:tplc="7472C950">
      <w:start w:val="1"/>
      <w:numFmt w:val="bullet"/>
      <w:lvlText w:val=""/>
      <w:lvlJc w:val="left"/>
      <w:pPr>
        <w:ind w:left="720" w:hanging="360"/>
      </w:pPr>
      <w:rPr>
        <w:rFonts w:ascii="Symbol" w:hAnsi="Symbol"/>
      </w:rPr>
    </w:lvl>
    <w:lvl w:ilvl="3" w:tplc="9E40916A">
      <w:start w:val="1"/>
      <w:numFmt w:val="bullet"/>
      <w:lvlText w:val=""/>
      <w:lvlJc w:val="left"/>
      <w:pPr>
        <w:ind w:left="720" w:hanging="360"/>
      </w:pPr>
      <w:rPr>
        <w:rFonts w:ascii="Symbol" w:hAnsi="Symbol"/>
      </w:rPr>
    </w:lvl>
    <w:lvl w:ilvl="4" w:tplc="157825C2">
      <w:start w:val="1"/>
      <w:numFmt w:val="bullet"/>
      <w:lvlText w:val=""/>
      <w:lvlJc w:val="left"/>
      <w:pPr>
        <w:ind w:left="720" w:hanging="360"/>
      </w:pPr>
      <w:rPr>
        <w:rFonts w:ascii="Symbol" w:hAnsi="Symbol"/>
      </w:rPr>
    </w:lvl>
    <w:lvl w:ilvl="5" w:tplc="DF90184C">
      <w:start w:val="1"/>
      <w:numFmt w:val="bullet"/>
      <w:lvlText w:val=""/>
      <w:lvlJc w:val="left"/>
      <w:pPr>
        <w:ind w:left="720" w:hanging="360"/>
      </w:pPr>
      <w:rPr>
        <w:rFonts w:ascii="Symbol" w:hAnsi="Symbol"/>
      </w:rPr>
    </w:lvl>
    <w:lvl w:ilvl="6" w:tplc="8C52C5B8">
      <w:start w:val="1"/>
      <w:numFmt w:val="bullet"/>
      <w:lvlText w:val=""/>
      <w:lvlJc w:val="left"/>
      <w:pPr>
        <w:ind w:left="720" w:hanging="360"/>
      </w:pPr>
      <w:rPr>
        <w:rFonts w:ascii="Symbol" w:hAnsi="Symbol"/>
      </w:rPr>
    </w:lvl>
    <w:lvl w:ilvl="7" w:tplc="ABAA33E4">
      <w:start w:val="1"/>
      <w:numFmt w:val="bullet"/>
      <w:lvlText w:val=""/>
      <w:lvlJc w:val="left"/>
      <w:pPr>
        <w:ind w:left="720" w:hanging="360"/>
      </w:pPr>
      <w:rPr>
        <w:rFonts w:ascii="Symbol" w:hAnsi="Symbol"/>
      </w:rPr>
    </w:lvl>
    <w:lvl w:ilvl="8" w:tplc="08D8C39A">
      <w:start w:val="1"/>
      <w:numFmt w:val="bullet"/>
      <w:lvlText w:val=""/>
      <w:lvlJc w:val="left"/>
      <w:pPr>
        <w:ind w:left="720" w:hanging="360"/>
      </w:pPr>
      <w:rPr>
        <w:rFonts w:ascii="Symbol" w:hAnsi="Symbol"/>
      </w:rPr>
    </w:lvl>
  </w:abstractNum>
  <w:abstractNum w:abstractNumId="7" w15:restartNumberingAfterBreak="0">
    <w:nsid w:val="346F39BF"/>
    <w:multiLevelType w:val="hybridMultilevel"/>
    <w:tmpl w:val="EC54DDC2"/>
    <w:lvl w:ilvl="0" w:tplc="64D6F266">
      <w:start w:val="38"/>
      <w:numFmt w:val="bullet"/>
      <w:lvlText w:val="-"/>
      <w:lvlJc w:val="left"/>
      <w:pPr>
        <w:ind w:left="720" w:hanging="360"/>
      </w:pPr>
      <w:rPr>
        <w:rFonts w:ascii="Century Gothic" w:eastAsia="MS Mincho"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7B8572C"/>
    <w:multiLevelType w:val="hybridMultilevel"/>
    <w:tmpl w:val="142095F0"/>
    <w:lvl w:ilvl="0" w:tplc="311C66D0">
      <w:start w:val="5"/>
      <w:numFmt w:val="bullet"/>
      <w:lvlText w:val="-"/>
      <w:lvlJc w:val="left"/>
      <w:pPr>
        <w:ind w:left="947" w:hanging="360"/>
      </w:pPr>
      <w:rPr>
        <w:rFonts w:ascii="Calibri" w:eastAsia="Batang" w:hAnsi="Calibri" w:cs="Calibri" w:hint="default"/>
      </w:rPr>
    </w:lvl>
    <w:lvl w:ilvl="1" w:tplc="040C0003" w:tentative="1">
      <w:start w:val="1"/>
      <w:numFmt w:val="bullet"/>
      <w:lvlText w:val="o"/>
      <w:lvlJc w:val="left"/>
      <w:pPr>
        <w:ind w:left="1667" w:hanging="360"/>
      </w:pPr>
      <w:rPr>
        <w:rFonts w:ascii="Courier New" w:hAnsi="Courier New" w:cs="Courier New" w:hint="default"/>
      </w:rPr>
    </w:lvl>
    <w:lvl w:ilvl="2" w:tplc="040C0005" w:tentative="1">
      <w:start w:val="1"/>
      <w:numFmt w:val="bullet"/>
      <w:lvlText w:val=""/>
      <w:lvlJc w:val="left"/>
      <w:pPr>
        <w:ind w:left="2387" w:hanging="360"/>
      </w:pPr>
      <w:rPr>
        <w:rFonts w:ascii="Wingdings" w:hAnsi="Wingdings" w:hint="default"/>
      </w:rPr>
    </w:lvl>
    <w:lvl w:ilvl="3" w:tplc="040C0001" w:tentative="1">
      <w:start w:val="1"/>
      <w:numFmt w:val="bullet"/>
      <w:lvlText w:val=""/>
      <w:lvlJc w:val="left"/>
      <w:pPr>
        <w:ind w:left="3107" w:hanging="360"/>
      </w:pPr>
      <w:rPr>
        <w:rFonts w:ascii="Symbol" w:hAnsi="Symbol" w:hint="default"/>
      </w:rPr>
    </w:lvl>
    <w:lvl w:ilvl="4" w:tplc="040C0003" w:tentative="1">
      <w:start w:val="1"/>
      <w:numFmt w:val="bullet"/>
      <w:lvlText w:val="o"/>
      <w:lvlJc w:val="left"/>
      <w:pPr>
        <w:ind w:left="3827" w:hanging="360"/>
      </w:pPr>
      <w:rPr>
        <w:rFonts w:ascii="Courier New" w:hAnsi="Courier New" w:cs="Courier New" w:hint="default"/>
      </w:rPr>
    </w:lvl>
    <w:lvl w:ilvl="5" w:tplc="040C0005" w:tentative="1">
      <w:start w:val="1"/>
      <w:numFmt w:val="bullet"/>
      <w:lvlText w:val=""/>
      <w:lvlJc w:val="left"/>
      <w:pPr>
        <w:ind w:left="4547" w:hanging="360"/>
      </w:pPr>
      <w:rPr>
        <w:rFonts w:ascii="Wingdings" w:hAnsi="Wingdings" w:hint="default"/>
      </w:rPr>
    </w:lvl>
    <w:lvl w:ilvl="6" w:tplc="040C0001" w:tentative="1">
      <w:start w:val="1"/>
      <w:numFmt w:val="bullet"/>
      <w:lvlText w:val=""/>
      <w:lvlJc w:val="left"/>
      <w:pPr>
        <w:ind w:left="5267" w:hanging="360"/>
      </w:pPr>
      <w:rPr>
        <w:rFonts w:ascii="Symbol" w:hAnsi="Symbol" w:hint="default"/>
      </w:rPr>
    </w:lvl>
    <w:lvl w:ilvl="7" w:tplc="040C0003" w:tentative="1">
      <w:start w:val="1"/>
      <w:numFmt w:val="bullet"/>
      <w:lvlText w:val="o"/>
      <w:lvlJc w:val="left"/>
      <w:pPr>
        <w:ind w:left="5987" w:hanging="360"/>
      </w:pPr>
      <w:rPr>
        <w:rFonts w:ascii="Courier New" w:hAnsi="Courier New" w:cs="Courier New" w:hint="default"/>
      </w:rPr>
    </w:lvl>
    <w:lvl w:ilvl="8" w:tplc="040C0005" w:tentative="1">
      <w:start w:val="1"/>
      <w:numFmt w:val="bullet"/>
      <w:lvlText w:val=""/>
      <w:lvlJc w:val="left"/>
      <w:pPr>
        <w:ind w:left="6707" w:hanging="360"/>
      </w:pPr>
      <w:rPr>
        <w:rFonts w:ascii="Wingdings" w:hAnsi="Wingdings" w:hint="default"/>
      </w:rPr>
    </w:lvl>
  </w:abstractNum>
  <w:abstractNum w:abstractNumId="9" w15:restartNumberingAfterBreak="0">
    <w:nsid w:val="3B59100F"/>
    <w:multiLevelType w:val="hybridMultilevel"/>
    <w:tmpl w:val="04BC1996"/>
    <w:lvl w:ilvl="0" w:tplc="212A88E4">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4175882"/>
    <w:multiLevelType w:val="multilevel"/>
    <w:tmpl w:val="0E1E0C58"/>
    <w:lvl w:ilvl="0">
      <w:start w:val="1"/>
      <w:numFmt w:val="decimal"/>
      <w:lvlText w:val="%1."/>
      <w:lvlJc w:val="left"/>
      <w:pPr>
        <w:ind w:left="360" w:hanging="360"/>
      </w:pPr>
      <w:rPr>
        <w:rFonts w:hint="default"/>
      </w:rPr>
    </w:lvl>
    <w:lvl w:ilvl="1">
      <w:start w:val="1"/>
      <w:numFmt w:val="decimal"/>
      <w:pStyle w:val="Deuximetitre"/>
      <w:lvlText w:val="%1.%2."/>
      <w:lvlJc w:val="left"/>
      <w:pPr>
        <w:ind w:left="792" w:hanging="432"/>
      </w:pPr>
      <w:rPr>
        <w:rFonts w:hint="default"/>
      </w:rPr>
    </w:lvl>
    <w:lvl w:ilvl="2">
      <w:start w:val="1"/>
      <w:numFmt w:val="decimal"/>
      <w:pStyle w:val="Titredetroisimeniveau"/>
      <w:lvlText w:val="%1.%2.%3."/>
      <w:lvlJc w:val="left"/>
      <w:pPr>
        <w:ind w:left="1224" w:hanging="504"/>
      </w:pPr>
      <w:rPr>
        <w:rFonts w:hint="default"/>
      </w:rPr>
    </w:lvl>
    <w:lvl w:ilvl="3">
      <w:start w:val="1"/>
      <w:numFmt w:val="decimal"/>
      <w:pStyle w:val="Ttredequatrimeniveau"/>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C4F35AD"/>
    <w:multiLevelType w:val="hybridMultilevel"/>
    <w:tmpl w:val="C09A4FFE"/>
    <w:lvl w:ilvl="0" w:tplc="4448E1A4">
      <w:start w:val="1"/>
      <w:numFmt w:val="bullet"/>
      <w:lvlText w:val=""/>
      <w:lvlJc w:val="left"/>
      <w:pPr>
        <w:ind w:left="720" w:hanging="360"/>
      </w:pPr>
      <w:rPr>
        <w:rFonts w:ascii="Symbol" w:hAnsi="Symbol"/>
      </w:rPr>
    </w:lvl>
    <w:lvl w:ilvl="1" w:tplc="166EC8C8">
      <w:start w:val="1"/>
      <w:numFmt w:val="bullet"/>
      <w:lvlText w:val=""/>
      <w:lvlJc w:val="left"/>
      <w:pPr>
        <w:ind w:left="720" w:hanging="360"/>
      </w:pPr>
      <w:rPr>
        <w:rFonts w:ascii="Symbol" w:hAnsi="Symbol"/>
      </w:rPr>
    </w:lvl>
    <w:lvl w:ilvl="2" w:tplc="52E0CCAA">
      <w:start w:val="1"/>
      <w:numFmt w:val="bullet"/>
      <w:lvlText w:val=""/>
      <w:lvlJc w:val="left"/>
      <w:pPr>
        <w:ind w:left="720" w:hanging="360"/>
      </w:pPr>
      <w:rPr>
        <w:rFonts w:ascii="Symbol" w:hAnsi="Symbol"/>
      </w:rPr>
    </w:lvl>
    <w:lvl w:ilvl="3" w:tplc="1A046528">
      <w:start w:val="1"/>
      <w:numFmt w:val="bullet"/>
      <w:lvlText w:val=""/>
      <w:lvlJc w:val="left"/>
      <w:pPr>
        <w:ind w:left="720" w:hanging="360"/>
      </w:pPr>
      <w:rPr>
        <w:rFonts w:ascii="Symbol" w:hAnsi="Symbol"/>
      </w:rPr>
    </w:lvl>
    <w:lvl w:ilvl="4" w:tplc="4BA6787C">
      <w:start w:val="1"/>
      <w:numFmt w:val="bullet"/>
      <w:lvlText w:val=""/>
      <w:lvlJc w:val="left"/>
      <w:pPr>
        <w:ind w:left="720" w:hanging="360"/>
      </w:pPr>
      <w:rPr>
        <w:rFonts w:ascii="Symbol" w:hAnsi="Symbol"/>
      </w:rPr>
    </w:lvl>
    <w:lvl w:ilvl="5" w:tplc="A8544E68">
      <w:start w:val="1"/>
      <w:numFmt w:val="bullet"/>
      <w:lvlText w:val=""/>
      <w:lvlJc w:val="left"/>
      <w:pPr>
        <w:ind w:left="720" w:hanging="360"/>
      </w:pPr>
      <w:rPr>
        <w:rFonts w:ascii="Symbol" w:hAnsi="Symbol"/>
      </w:rPr>
    </w:lvl>
    <w:lvl w:ilvl="6" w:tplc="732AA7BE">
      <w:start w:val="1"/>
      <w:numFmt w:val="bullet"/>
      <w:lvlText w:val=""/>
      <w:lvlJc w:val="left"/>
      <w:pPr>
        <w:ind w:left="720" w:hanging="360"/>
      </w:pPr>
      <w:rPr>
        <w:rFonts w:ascii="Symbol" w:hAnsi="Symbol"/>
      </w:rPr>
    </w:lvl>
    <w:lvl w:ilvl="7" w:tplc="9A52D128">
      <w:start w:val="1"/>
      <w:numFmt w:val="bullet"/>
      <w:lvlText w:val=""/>
      <w:lvlJc w:val="left"/>
      <w:pPr>
        <w:ind w:left="720" w:hanging="360"/>
      </w:pPr>
      <w:rPr>
        <w:rFonts w:ascii="Symbol" w:hAnsi="Symbol"/>
      </w:rPr>
    </w:lvl>
    <w:lvl w:ilvl="8" w:tplc="8886005E">
      <w:start w:val="1"/>
      <w:numFmt w:val="bullet"/>
      <w:lvlText w:val=""/>
      <w:lvlJc w:val="left"/>
      <w:pPr>
        <w:ind w:left="720" w:hanging="360"/>
      </w:pPr>
      <w:rPr>
        <w:rFonts w:ascii="Symbol" w:hAnsi="Symbol"/>
      </w:rPr>
    </w:lvl>
  </w:abstractNum>
  <w:abstractNum w:abstractNumId="12" w15:restartNumberingAfterBreak="0">
    <w:nsid w:val="6493172C"/>
    <w:multiLevelType w:val="hybridMultilevel"/>
    <w:tmpl w:val="E9B8DC14"/>
    <w:lvl w:ilvl="0" w:tplc="C47A2E2E">
      <w:start w:val="12"/>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5507023"/>
    <w:multiLevelType w:val="hybridMultilevel"/>
    <w:tmpl w:val="6FF0D3F8"/>
    <w:lvl w:ilvl="0" w:tplc="7CC87A92">
      <w:start w:val="1"/>
      <w:numFmt w:val="bullet"/>
      <w:lvlText w:val=""/>
      <w:lvlJc w:val="left"/>
      <w:pPr>
        <w:ind w:left="720" w:hanging="360"/>
      </w:pPr>
      <w:rPr>
        <w:rFonts w:ascii="Symbol" w:hAnsi="Symbol"/>
      </w:rPr>
    </w:lvl>
    <w:lvl w:ilvl="1" w:tplc="AA1A2818">
      <w:start w:val="1"/>
      <w:numFmt w:val="bullet"/>
      <w:lvlText w:val=""/>
      <w:lvlJc w:val="left"/>
      <w:pPr>
        <w:ind w:left="720" w:hanging="360"/>
      </w:pPr>
      <w:rPr>
        <w:rFonts w:ascii="Symbol" w:hAnsi="Symbol"/>
      </w:rPr>
    </w:lvl>
    <w:lvl w:ilvl="2" w:tplc="896EEC34">
      <w:start w:val="1"/>
      <w:numFmt w:val="bullet"/>
      <w:lvlText w:val=""/>
      <w:lvlJc w:val="left"/>
      <w:pPr>
        <w:ind w:left="720" w:hanging="360"/>
      </w:pPr>
      <w:rPr>
        <w:rFonts w:ascii="Symbol" w:hAnsi="Symbol"/>
      </w:rPr>
    </w:lvl>
    <w:lvl w:ilvl="3" w:tplc="11C4DF9C">
      <w:start w:val="1"/>
      <w:numFmt w:val="bullet"/>
      <w:lvlText w:val=""/>
      <w:lvlJc w:val="left"/>
      <w:pPr>
        <w:ind w:left="720" w:hanging="360"/>
      </w:pPr>
      <w:rPr>
        <w:rFonts w:ascii="Symbol" w:hAnsi="Symbol"/>
      </w:rPr>
    </w:lvl>
    <w:lvl w:ilvl="4" w:tplc="EA94DF94">
      <w:start w:val="1"/>
      <w:numFmt w:val="bullet"/>
      <w:lvlText w:val=""/>
      <w:lvlJc w:val="left"/>
      <w:pPr>
        <w:ind w:left="720" w:hanging="360"/>
      </w:pPr>
      <w:rPr>
        <w:rFonts w:ascii="Symbol" w:hAnsi="Symbol"/>
      </w:rPr>
    </w:lvl>
    <w:lvl w:ilvl="5" w:tplc="DC4E2DC0">
      <w:start w:val="1"/>
      <w:numFmt w:val="bullet"/>
      <w:lvlText w:val=""/>
      <w:lvlJc w:val="left"/>
      <w:pPr>
        <w:ind w:left="720" w:hanging="360"/>
      </w:pPr>
      <w:rPr>
        <w:rFonts w:ascii="Symbol" w:hAnsi="Symbol"/>
      </w:rPr>
    </w:lvl>
    <w:lvl w:ilvl="6" w:tplc="73562C9A">
      <w:start w:val="1"/>
      <w:numFmt w:val="bullet"/>
      <w:lvlText w:val=""/>
      <w:lvlJc w:val="left"/>
      <w:pPr>
        <w:ind w:left="720" w:hanging="360"/>
      </w:pPr>
      <w:rPr>
        <w:rFonts w:ascii="Symbol" w:hAnsi="Symbol"/>
      </w:rPr>
    </w:lvl>
    <w:lvl w:ilvl="7" w:tplc="97A4EE7A">
      <w:start w:val="1"/>
      <w:numFmt w:val="bullet"/>
      <w:lvlText w:val=""/>
      <w:lvlJc w:val="left"/>
      <w:pPr>
        <w:ind w:left="720" w:hanging="360"/>
      </w:pPr>
      <w:rPr>
        <w:rFonts w:ascii="Symbol" w:hAnsi="Symbol"/>
      </w:rPr>
    </w:lvl>
    <w:lvl w:ilvl="8" w:tplc="6068E9C8">
      <w:start w:val="1"/>
      <w:numFmt w:val="bullet"/>
      <w:lvlText w:val=""/>
      <w:lvlJc w:val="left"/>
      <w:pPr>
        <w:ind w:left="720" w:hanging="360"/>
      </w:pPr>
      <w:rPr>
        <w:rFonts w:ascii="Symbol" w:hAnsi="Symbol"/>
      </w:rPr>
    </w:lvl>
  </w:abstractNum>
  <w:abstractNum w:abstractNumId="14" w15:restartNumberingAfterBreak="0">
    <w:nsid w:val="65761A3D"/>
    <w:multiLevelType w:val="hybridMultilevel"/>
    <w:tmpl w:val="BEB6EC2E"/>
    <w:lvl w:ilvl="0" w:tplc="040C000B">
      <w:start w:val="1"/>
      <w:numFmt w:val="bullet"/>
      <w:lvlText w:val=""/>
      <w:lvlJc w:val="left"/>
      <w:pPr>
        <w:ind w:left="947" w:hanging="360"/>
      </w:pPr>
      <w:rPr>
        <w:rFonts w:ascii="Wingdings" w:hAnsi="Wingdings" w:hint="default"/>
      </w:rPr>
    </w:lvl>
    <w:lvl w:ilvl="1" w:tplc="040C0003">
      <w:start w:val="1"/>
      <w:numFmt w:val="bullet"/>
      <w:lvlText w:val="o"/>
      <w:lvlJc w:val="left"/>
      <w:pPr>
        <w:ind w:left="1667" w:hanging="360"/>
      </w:pPr>
      <w:rPr>
        <w:rFonts w:ascii="Courier New" w:hAnsi="Courier New" w:cs="Courier New" w:hint="default"/>
      </w:rPr>
    </w:lvl>
    <w:lvl w:ilvl="2" w:tplc="040C0005" w:tentative="1">
      <w:start w:val="1"/>
      <w:numFmt w:val="bullet"/>
      <w:lvlText w:val=""/>
      <w:lvlJc w:val="left"/>
      <w:pPr>
        <w:ind w:left="2387" w:hanging="360"/>
      </w:pPr>
      <w:rPr>
        <w:rFonts w:ascii="Wingdings" w:hAnsi="Wingdings" w:hint="default"/>
      </w:rPr>
    </w:lvl>
    <w:lvl w:ilvl="3" w:tplc="040C0001" w:tentative="1">
      <w:start w:val="1"/>
      <w:numFmt w:val="bullet"/>
      <w:lvlText w:val=""/>
      <w:lvlJc w:val="left"/>
      <w:pPr>
        <w:ind w:left="3107" w:hanging="360"/>
      </w:pPr>
      <w:rPr>
        <w:rFonts w:ascii="Symbol" w:hAnsi="Symbol" w:hint="default"/>
      </w:rPr>
    </w:lvl>
    <w:lvl w:ilvl="4" w:tplc="040C0003" w:tentative="1">
      <w:start w:val="1"/>
      <w:numFmt w:val="bullet"/>
      <w:lvlText w:val="o"/>
      <w:lvlJc w:val="left"/>
      <w:pPr>
        <w:ind w:left="3827" w:hanging="360"/>
      </w:pPr>
      <w:rPr>
        <w:rFonts w:ascii="Courier New" w:hAnsi="Courier New" w:cs="Courier New" w:hint="default"/>
      </w:rPr>
    </w:lvl>
    <w:lvl w:ilvl="5" w:tplc="040C0005" w:tentative="1">
      <w:start w:val="1"/>
      <w:numFmt w:val="bullet"/>
      <w:lvlText w:val=""/>
      <w:lvlJc w:val="left"/>
      <w:pPr>
        <w:ind w:left="4547" w:hanging="360"/>
      </w:pPr>
      <w:rPr>
        <w:rFonts w:ascii="Wingdings" w:hAnsi="Wingdings" w:hint="default"/>
      </w:rPr>
    </w:lvl>
    <w:lvl w:ilvl="6" w:tplc="040C0001" w:tentative="1">
      <w:start w:val="1"/>
      <w:numFmt w:val="bullet"/>
      <w:lvlText w:val=""/>
      <w:lvlJc w:val="left"/>
      <w:pPr>
        <w:ind w:left="5267" w:hanging="360"/>
      </w:pPr>
      <w:rPr>
        <w:rFonts w:ascii="Symbol" w:hAnsi="Symbol" w:hint="default"/>
      </w:rPr>
    </w:lvl>
    <w:lvl w:ilvl="7" w:tplc="040C0003" w:tentative="1">
      <w:start w:val="1"/>
      <w:numFmt w:val="bullet"/>
      <w:lvlText w:val="o"/>
      <w:lvlJc w:val="left"/>
      <w:pPr>
        <w:ind w:left="5987" w:hanging="360"/>
      </w:pPr>
      <w:rPr>
        <w:rFonts w:ascii="Courier New" w:hAnsi="Courier New" w:cs="Courier New" w:hint="default"/>
      </w:rPr>
    </w:lvl>
    <w:lvl w:ilvl="8" w:tplc="040C0005" w:tentative="1">
      <w:start w:val="1"/>
      <w:numFmt w:val="bullet"/>
      <w:lvlText w:val=""/>
      <w:lvlJc w:val="left"/>
      <w:pPr>
        <w:ind w:left="6707" w:hanging="360"/>
      </w:pPr>
      <w:rPr>
        <w:rFonts w:ascii="Wingdings" w:hAnsi="Wingdings" w:hint="default"/>
      </w:rPr>
    </w:lvl>
  </w:abstractNum>
  <w:abstractNum w:abstractNumId="15" w15:restartNumberingAfterBreak="0">
    <w:nsid w:val="6591448B"/>
    <w:multiLevelType w:val="multilevel"/>
    <w:tmpl w:val="0F965C4A"/>
    <w:lvl w:ilvl="0">
      <w:start w:val="1"/>
      <w:numFmt w:val="decimal"/>
      <w:pStyle w:val="Titre1"/>
      <w:lvlText w:val="%1"/>
      <w:lvlJc w:val="left"/>
      <w:pPr>
        <w:ind w:left="-2404" w:hanging="432"/>
      </w:pPr>
    </w:lvl>
    <w:lvl w:ilvl="1">
      <w:start w:val="1"/>
      <w:numFmt w:val="decimal"/>
      <w:pStyle w:val="Titre2"/>
      <w:lvlText w:val="%1.%2"/>
      <w:lvlJc w:val="left"/>
      <w:pPr>
        <w:ind w:left="-2260" w:hanging="576"/>
      </w:pPr>
    </w:lvl>
    <w:lvl w:ilvl="2">
      <w:start w:val="1"/>
      <w:numFmt w:val="decimal"/>
      <w:pStyle w:val="Titre3"/>
      <w:lvlText w:val="%1.%2.%3"/>
      <w:lvlJc w:val="left"/>
      <w:pPr>
        <w:ind w:left="-2116" w:hanging="720"/>
      </w:pPr>
    </w:lvl>
    <w:lvl w:ilvl="3">
      <w:start w:val="1"/>
      <w:numFmt w:val="decimal"/>
      <w:pStyle w:val="Titre4"/>
      <w:lvlText w:val="%1.%2.%3.%4"/>
      <w:lvlJc w:val="left"/>
      <w:pPr>
        <w:ind w:left="-1972" w:hanging="864"/>
      </w:pPr>
    </w:lvl>
    <w:lvl w:ilvl="4">
      <w:start w:val="1"/>
      <w:numFmt w:val="decimal"/>
      <w:pStyle w:val="Titre5"/>
      <w:lvlText w:val="%1.%2.%3.%4.%5"/>
      <w:lvlJc w:val="left"/>
      <w:pPr>
        <w:ind w:left="-1828" w:hanging="1008"/>
      </w:pPr>
    </w:lvl>
    <w:lvl w:ilvl="5">
      <w:start w:val="1"/>
      <w:numFmt w:val="decimal"/>
      <w:pStyle w:val="Titre6"/>
      <w:lvlText w:val="%1.%2.%3.%4.%5.%6"/>
      <w:lvlJc w:val="left"/>
      <w:pPr>
        <w:ind w:left="-1684" w:hanging="1152"/>
      </w:pPr>
    </w:lvl>
    <w:lvl w:ilvl="6">
      <w:start w:val="1"/>
      <w:numFmt w:val="decimal"/>
      <w:pStyle w:val="Titre7"/>
      <w:lvlText w:val="%1.%2.%3.%4.%5.%6.%7"/>
      <w:lvlJc w:val="left"/>
      <w:pPr>
        <w:ind w:left="-1540" w:hanging="1296"/>
      </w:pPr>
    </w:lvl>
    <w:lvl w:ilvl="7">
      <w:start w:val="1"/>
      <w:numFmt w:val="decimal"/>
      <w:pStyle w:val="Titre8"/>
      <w:lvlText w:val="%1.%2.%3.%4.%5.%6.%7.%8"/>
      <w:lvlJc w:val="left"/>
      <w:pPr>
        <w:ind w:left="-1396" w:hanging="1440"/>
      </w:pPr>
    </w:lvl>
    <w:lvl w:ilvl="8">
      <w:start w:val="1"/>
      <w:numFmt w:val="decimal"/>
      <w:pStyle w:val="Titre9"/>
      <w:lvlText w:val="%1.%2.%3.%4.%5.%6.%7.%8.%9"/>
      <w:lvlJc w:val="left"/>
      <w:pPr>
        <w:ind w:left="-1252" w:hanging="1584"/>
      </w:pPr>
    </w:lvl>
  </w:abstractNum>
  <w:num w:numId="1" w16cid:durableId="398407604">
    <w:abstractNumId w:val="15"/>
  </w:num>
  <w:num w:numId="2" w16cid:durableId="330059464">
    <w:abstractNumId w:val="9"/>
  </w:num>
  <w:num w:numId="3" w16cid:durableId="790831015">
    <w:abstractNumId w:val="2"/>
  </w:num>
  <w:num w:numId="4" w16cid:durableId="774906299">
    <w:abstractNumId w:val="10"/>
  </w:num>
  <w:num w:numId="5" w16cid:durableId="2026973700">
    <w:abstractNumId w:val="14"/>
  </w:num>
  <w:num w:numId="6" w16cid:durableId="81604307">
    <w:abstractNumId w:val="1"/>
  </w:num>
  <w:num w:numId="7" w16cid:durableId="696082838">
    <w:abstractNumId w:val="8"/>
  </w:num>
  <w:num w:numId="8" w16cid:durableId="1243107517">
    <w:abstractNumId w:val="3"/>
  </w:num>
  <w:num w:numId="9" w16cid:durableId="775490694">
    <w:abstractNumId w:val="5"/>
  </w:num>
  <w:num w:numId="10" w16cid:durableId="2065179037">
    <w:abstractNumId w:val="6"/>
  </w:num>
  <w:num w:numId="11" w16cid:durableId="1975868551">
    <w:abstractNumId w:val="4"/>
  </w:num>
  <w:num w:numId="12" w16cid:durableId="265692582">
    <w:abstractNumId w:val="7"/>
  </w:num>
  <w:num w:numId="13" w16cid:durableId="832380223">
    <w:abstractNumId w:val="12"/>
  </w:num>
  <w:num w:numId="14" w16cid:durableId="146097745">
    <w:abstractNumId w:val="0"/>
  </w:num>
  <w:num w:numId="15" w16cid:durableId="5695366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50072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99300862">
    <w:abstractNumId w:val="15"/>
  </w:num>
  <w:num w:numId="18" w16cid:durableId="1548491380">
    <w:abstractNumId w:val="15"/>
  </w:num>
  <w:num w:numId="19" w16cid:durableId="1367946983">
    <w:abstractNumId w:val="15"/>
  </w:num>
  <w:num w:numId="20" w16cid:durableId="1601986896">
    <w:abstractNumId w:val="15"/>
  </w:num>
  <w:num w:numId="21" w16cid:durableId="281038746">
    <w:abstractNumId w:val="13"/>
  </w:num>
  <w:num w:numId="22" w16cid:durableId="1047756721">
    <w:abstractNumId w:val="11"/>
  </w:num>
  <w:num w:numId="23" w16cid:durableId="1787457158">
    <w:abstractNumId w:val="15"/>
  </w:num>
  <w:num w:numId="24" w16cid:durableId="1708334037">
    <w:abstractNumId w:val="15"/>
  </w:num>
  <w:num w:numId="25" w16cid:durableId="641235798">
    <w:abstractNumId w:val="15"/>
  </w:num>
  <w:num w:numId="26" w16cid:durableId="1816215280">
    <w:abstractNumId w:val="15"/>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ulie ROY">
    <w15:presenceInfo w15:providerId="AD" w15:userId="S-1-5-21-935599526-763077374-1294098579-122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93"/>
  <w:drawingGridVerticalSpacing w:val="193"/>
  <w:displayVerticalDrawingGridEvery w:val="2"/>
  <w:doNotUseMarginsForDrawingGridOrigin/>
  <w:drawingGridHorizontalOrigin w:val="3124"/>
  <w:drawingGridVerticalOrigin w:val="3408"/>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5688"/>
    <w:rsid w:val="00000698"/>
    <w:rsid w:val="00001CC0"/>
    <w:rsid w:val="0000252B"/>
    <w:rsid w:val="00007290"/>
    <w:rsid w:val="000103E1"/>
    <w:rsid w:val="000141DA"/>
    <w:rsid w:val="00014246"/>
    <w:rsid w:val="0001438C"/>
    <w:rsid w:val="00015ECC"/>
    <w:rsid w:val="00022549"/>
    <w:rsid w:val="00024280"/>
    <w:rsid w:val="000256F7"/>
    <w:rsid w:val="0002624D"/>
    <w:rsid w:val="00027104"/>
    <w:rsid w:val="0003241D"/>
    <w:rsid w:val="000330D9"/>
    <w:rsid w:val="000333D5"/>
    <w:rsid w:val="00033C22"/>
    <w:rsid w:val="000358BF"/>
    <w:rsid w:val="00037755"/>
    <w:rsid w:val="000378EE"/>
    <w:rsid w:val="0004248A"/>
    <w:rsid w:val="00046849"/>
    <w:rsid w:val="00047B07"/>
    <w:rsid w:val="00047B5D"/>
    <w:rsid w:val="00050322"/>
    <w:rsid w:val="00050FB4"/>
    <w:rsid w:val="0005279F"/>
    <w:rsid w:val="00052DC9"/>
    <w:rsid w:val="00053D6B"/>
    <w:rsid w:val="00053D92"/>
    <w:rsid w:val="0005675C"/>
    <w:rsid w:val="00057344"/>
    <w:rsid w:val="00065D74"/>
    <w:rsid w:val="000670BB"/>
    <w:rsid w:val="000677B2"/>
    <w:rsid w:val="00067A22"/>
    <w:rsid w:val="00067BB1"/>
    <w:rsid w:val="00070637"/>
    <w:rsid w:val="00071DFE"/>
    <w:rsid w:val="00075292"/>
    <w:rsid w:val="00077DDD"/>
    <w:rsid w:val="00080D44"/>
    <w:rsid w:val="00082212"/>
    <w:rsid w:val="000824FF"/>
    <w:rsid w:val="00083378"/>
    <w:rsid w:val="00084B64"/>
    <w:rsid w:val="00086798"/>
    <w:rsid w:val="00086DC8"/>
    <w:rsid w:val="000925FF"/>
    <w:rsid w:val="00092F1A"/>
    <w:rsid w:val="000A2610"/>
    <w:rsid w:val="000A2EE2"/>
    <w:rsid w:val="000A4131"/>
    <w:rsid w:val="000B40D4"/>
    <w:rsid w:val="000B5701"/>
    <w:rsid w:val="000B6F53"/>
    <w:rsid w:val="000C0878"/>
    <w:rsid w:val="000C2719"/>
    <w:rsid w:val="000C4DB6"/>
    <w:rsid w:val="000C4F56"/>
    <w:rsid w:val="000C6E23"/>
    <w:rsid w:val="000C7A70"/>
    <w:rsid w:val="000D1844"/>
    <w:rsid w:val="000D350D"/>
    <w:rsid w:val="000D3859"/>
    <w:rsid w:val="000D4BE4"/>
    <w:rsid w:val="000E1F14"/>
    <w:rsid w:val="000E4672"/>
    <w:rsid w:val="000E5169"/>
    <w:rsid w:val="000E7C1C"/>
    <w:rsid w:val="000E7EDF"/>
    <w:rsid w:val="000F250A"/>
    <w:rsid w:val="000F4CF0"/>
    <w:rsid w:val="000F57CC"/>
    <w:rsid w:val="000F5FFF"/>
    <w:rsid w:val="000F6B6C"/>
    <w:rsid w:val="00102329"/>
    <w:rsid w:val="00103BAA"/>
    <w:rsid w:val="00104423"/>
    <w:rsid w:val="00111CB6"/>
    <w:rsid w:val="001133A4"/>
    <w:rsid w:val="00115AFD"/>
    <w:rsid w:val="00116B44"/>
    <w:rsid w:val="00122308"/>
    <w:rsid w:val="0012268F"/>
    <w:rsid w:val="00126038"/>
    <w:rsid w:val="001269D3"/>
    <w:rsid w:val="00130C02"/>
    <w:rsid w:val="001340B4"/>
    <w:rsid w:val="00135FB3"/>
    <w:rsid w:val="00142EFA"/>
    <w:rsid w:val="00142F28"/>
    <w:rsid w:val="00144236"/>
    <w:rsid w:val="00145BC2"/>
    <w:rsid w:val="001474A5"/>
    <w:rsid w:val="00152425"/>
    <w:rsid w:val="001524C9"/>
    <w:rsid w:val="00156807"/>
    <w:rsid w:val="00156972"/>
    <w:rsid w:val="001575FB"/>
    <w:rsid w:val="00173B5E"/>
    <w:rsid w:val="0017580E"/>
    <w:rsid w:val="00183574"/>
    <w:rsid w:val="00184081"/>
    <w:rsid w:val="00185567"/>
    <w:rsid w:val="00185859"/>
    <w:rsid w:val="00186E6C"/>
    <w:rsid w:val="00193B56"/>
    <w:rsid w:val="001A0370"/>
    <w:rsid w:val="001A0F9B"/>
    <w:rsid w:val="001A13B8"/>
    <w:rsid w:val="001A4634"/>
    <w:rsid w:val="001A51BF"/>
    <w:rsid w:val="001A7AA8"/>
    <w:rsid w:val="001B1058"/>
    <w:rsid w:val="001B4253"/>
    <w:rsid w:val="001C357E"/>
    <w:rsid w:val="001C4B3F"/>
    <w:rsid w:val="001C5E68"/>
    <w:rsid w:val="001D0080"/>
    <w:rsid w:val="001D0693"/>
    <w:rsid w:val="001D0F27"/>
    <w:rsid w:val="001D2061"/>
    <w:rsid w:val="001D2ED5"/>
    <w:rsid w:val="001D65CF"/>
    <w:rsid w:val="001D69B6"/>
    <w:rsid w:val="001E046C"/>
    <w:rsid w:val="001E0715"/>
    <w:rsid w:val="001E0808"/>
    <w:rsid w:val="001E2DD3"/>
    <w:rsid w:val="001E3CBB"/>
    <w:rsid w:val="001E5752"/>
    <w:rsid w:val="001F0925"/>
    <w:rsid w:val="001F1C57"/>
    <w:rsid w:val="001F1D3A"/>
    <w:rsid w:val="001F21F0"/>
    <w:rsid w:val="001F56F0"/>
    <w:rsid w:val="001F79C5"/>
    <w:rsid w:val="00203824"/>
    <w:rsid w:val="00204801"/>
    <w:rsid w:val="0020667D"/>
    <w:rsid w:val="00206F0F"/>
    <w:rsid w:val="0021198A"/>
    <w:rsid w:val="00213553"/>
    <w:rsid w:val="002142A8"/>
    <w:rsid w:val="002153EF"/>
    <w:rsid w:val="00216412"/>
    <w:rsid w:val="00217BF0"/>
    <w:rsid w:val="00217CA2"/>
    <w:rsid w:val="00222602"/>
    <w:rsid w:val="002267D0"/>
    <w:rsid w:val="002275FE"/>
    <w:rsid w:val="00231BC1"/>
    <w:rsid w:val="00233E0B"/>
    <w:rsid w:val="002374C1"/>
    <w:rsid w:val="00237892"/>
    <w:rsid w:val="00237C8B"/>
    <w:rsid w:val="002406AE"/>
    <w:rsid w:val="0024308D"/>
    <w:rsid w:val="00245C92"/>
    <w:rsid w:val="00252B1C"/>
    <w:rsid w:val="00253067"/>
    <w:rsid w:val="00254A1E"/>
    <w:rsid w:val="0026083C"/>
    <w:rsid w:val="00260EF0"/>
    <w:rsid w:val="0026255B"/>
    <w:rsid w:val="00262AE6"/>
    <w:rsid w:val="00263863"/>
    <w:rsid w:val="002653DA"/>
    <w:rsid w:val="00266278"/>
    <w:rsid w:val="00266C4D"/>
    <w:rsid w:val="002708C8"/>
    <w:rsid w:val="002738B8"/>
    <w:rsid w:val="002758CC"/>
    <w:rsid w:val="00277A8D"/>
    <w:rsid w:val="002811B2"/>
    <w:rsid w:val="002820C6"/>
    <w:rsid w:val="002862C0"/>
    <w:rsid w:val="00287529"/>
    <w:rsid w:val="00287D97"/>
    <w:rsid w:val="00290079"/>
    <w:rsid w:val="0029128C"/>
    <w:rsid w:val="00291EBE"/>
    <w:rsid w:val="002938E8"/>
    <w:rsid w:val="0029644B"/>
    <w:rsid w:val="002973B9"/>
    <w:rsid w:val="002A164C"/>
    <w:rsid w:val="002A1C6A"/>
    <w:rsid w:val="002A30DB"/>
    <w:rsid w:val="002A5726"/>
    <w:rsid w:val="002B0BCD"/>
    <w:rsid w:val="002B12B4"/>
    <w:rsid w:val="002B2BF7"/>
    <w:rsid w:val="002B3EA5"/>
    <w:rsid w:val="002B4658"/>
    <w:rsid w:val="002C09BC"/>
    <w:rsid w:val="002C5A15"/>
    <w:rsid w:val="002C638F"/>
    <w:rsid w:val="002D7830"/>
    <w:rsid w:val="002E0A66"/>
    <w:rsid w:val="002E0CDD"/>
    <w:rsid w:val="002E437C"/>
    <w:rsid w:val="002F09C3"/>
    <w:rsid w:val="002F0DA5"/>
    <w:rsid w:val="002F593A"/>
    <w:rsid w:val="002F7F2D"/>
    <w:rsid w:val="003015AB"/>
    <w:rsid w:val="00304CF3"/>
    <w:rsid w:val="00306958"/>
    <w:rsid w:val="003071F0"/>
    <w:rsid w:val="003102D0"/>
    <w:rsid w:val="003166F3"/>
    <w:rsid w:val="003258D6"/>
    <w:rsid w:val="00327797"/>
    <w:rsid w:val="00327F89"/>
    <w:rsid w:val="00330005"/>
    <w:rsid w:val="00330ACB"/>
    <w:rsid w:val="00331E17"/>
    <w:rsid w:val="00334C54"/>
    <w:rsid w:val="0033564B"/>
    <w:rsid w:val="00340133"/>
    <w:rsid w:val="00340E71"/>
    <w:rsid w:val="00341454"/>
    <w:rsid w:val="003442F3"/>
    <w:rsid w:val="00344B2F"/>
    <w:rsid w:val="00347132"/>
    <w:rsid w:val="00353B16"/>
    <w:rsid w:val="003573BA"/>
    <w:rsid w:val="003603E3"/>
    <w:rsid w:val="0036405F"/>
    <w:rsid w:val="003669A3"/>
    <w:rsid w:val="00367740"/>
    <w:rsid w:val="00367937"/>
    <w:rsid w:val="00367CF4"/>
    <w:rsid w:val="00370AFE"/>
    <w:rsid w:val="0037299C"/>
    <w:rsid w:val="00372EE7"/>
    <w:rsid w:val="0037505A"/>
    <w:rsid w:val="00381088"/>
    <w:rsid w:val="00381BD6"/>
    <w:rsid w:val="00383403"/>
    <w:rsid w:val="00383522"/>
    <w:rsid w:val="00383789"/>
    <w:rsid w:val="003841EB"/>
    <w:rsid w:val="00385688"/>
    <w:rsid w:val="00386FE6"/>
    <w:rsid w:val="00387AF4"/>
    <w:rsid w:val="0039018E"/>
    <w:rsid w:val="003906D0"/>
    <w:rsid w:val="0039340C"/>
    <w:rsid w:val="00394CDD"/>
    <w:rsid w:val="003969B2"/>
    <w:rsid w:val="003A0333"/>
    <w:rsid w:val="003A6FAE"/>
    <w:rsid w:val="003A79AF"/>
    <w:rsid w:val="003A7D17"/>
    <w:rsid w:val="003B2CDA"/>
    <w:rsid w:val="003B40C5"/>
    <w:rsid w:val="003B6E7C"/>
    <w:rsid w:val="003B702B"/>
    <w:rsid w:val="003C0FF4"/>
    <w:rsid w:val="003C1223"/>
    <w:rsid w:val="003C201C"/>
    <w:rsid w:val="003C2597"/>
    <w:rsid w:val="003C274E"/>
    <w:rsid w:val="003C2C32"/>
    <w:rsid w:val="003C33D5"/>
    <w:rsid w:val="003C3483"/>
    <w:rsid w:val="003C3AC1"/>
    <w:rsid w:val="003D463C"/>
    <w:rsid w:val="003E301B"/>
    <w:rsid w:val="003E481D"/>
    <w:rsid w:val="003E71FD"/>
    <w:rsid w:val="003F7774"/>
    <w:rsid w:val="004027B2"/>
    <w:rsid w:val="004028D6"/>
    <w:rsid w:val="00403C9B"/>
    <w:rsid w:val="004057EB"/>
    <w:rsid w:val="00407E4C"/>
    <w:rsid w:val="00410638"/>
    <w:rsid w:val="0041130E"/>
    <w:rsid w:val="0041238B"/>
    <w:rsid w:val="00416685"/>
    <w:rsid w:val="004166F6"/>
    <w:rsid w:val="00416D35"/>
    <w:rsid w:val="00420807"/>
    <w:rsid w:val="004220DC"/>
    <w:rsid w:val="00423AE0"/>
    <w:rsid w:val="004303E3"/>
    <w:rsid w:val="0043040D"/>
    <w:rsid w:val="00430DE9"/>
    <w:rsid w:val="00432524"/>
    <w:rsid w:val="00435A67"/>
    <w:rsid w:val="00436410"/>
    <w:rsid w:val="0044035D"/>
    <w:rsid w:val="0044584B"/>
    <w:rsid w:val="00446C0C"/>
    <w:rsid w:val="00447DE8"/>
    <w:rsid w:val="004505BC"/>
    <w:rsid w:val="00450618"/>
    <w:rsid w:val="00450A9D"/>
    <w:rsid w:val="0045338E"/>
    <w:rsid w:val="004556AF"/>
    <w:rsid w:val="00457F2C"/>
    <w:rsid w:val="0046011B"/>
    <w:rsid w:val="00461069"/>
    <w:rsid w:val="00461A2F"/>
    <w:rsid w:val="0046285F"/>
    <w:rsid w:val="004663DB"/>
    <w:rsid w:val="004670E6"/>
    <w:rsid w:val="0046768A"/>
    <w:rsid w:val="00470060"/>
    <w:rsid w:val="00471729"/>
    <w:rsid w:val="004717BA"/>
    <w:rsid w:val="004721E0"/>
    <w:rsid w:val="0047587A"/>
    <w:rsid w:val="00475D58"/>
    <w:rsid w:val="004816B0"/>
    <w:rsid w:val="00481C99"/>
    <w:rsid w:val="00485CEA"/>
    <w:rsid w:val="004866D6"/>
    <w:rsid w:val="004918E4"/>
    <w:rsid w:val="00495113"/>
    <w:rsid w:val="00495F8D"/>
    <w:rsid w:val="004A00F2"/>
    <w:rsid w:val="004A270A"/>
    <w:rsid w:val="004A28B6"/>
    <w:rsid w:val="004A2CD4"/>
    <w:rsid w:val="004A2DCB"/>
    <w:rsid w:val="004B27C9"/>
    <w:rsid w:val="004B2D62"/>
    <w:rsid w:val="004C2E16"/>
    <w:rsid w:val="004C4A38"/>
    <w:rsid w:val="004C5083"/>
    <w:rsid w:val="004C5D67"/>
    <w:rsid w:val="004C75E3"/>
    <w:rsid w:val="004C7ED1"/>
    <w:rsid w:val="004D1642"/>
    <w:rsid w:val="004D168C"/>
    <w:rsid w:val="004D4D82"/>
    <w:rsid w:val="004E0798"/>
    <w:rsid w:val="004E46F7"/>
    <w:rsid w:val="004E56C7"/>
    <w:rsid w:val="004E60E5"/>
    <w:rsid w:val="004E73EA"/>
    <w:rsid w:val="004F319F"/>
    <w:rsid w:val="00501491"/>
    <w:rsid w:val="00501D9D"/>
    <w:rsid w:val="00502F6E"/>
    <w:rsid w:val="0050648B"/>
    <w:rsid w:val="00506AD7"/>
    <w:rsid w:val="00511126"/>
    <w:rsid w:val="00511160"/>
    <w:rsid w:val="00514FAC"/>
    <w:rsid w:val="00516D41"/>
    <w:rsid w:val="00520D3A"/>
    <w:rsid w:val="00521132"/>
    <w:rsid w:val="00523B69"/>
    <w:rsid w:val="00523E71"/>
    <w:rsid w:val="005268B1"/>
    <w:rsid w:val="005312AD"/>
    <w:rsid w:val="00532B9B"/>
    <w:rsid w:val="0053325F"/>
    <w:rsid w:val="00535156"/>
    <w:rsid w:val="00535DFE"/>
    <w:rsid w:val="00545F53"/>
    <w:rsid w:val="00551C55"/>
    <w:rsid w:val="00556031"/>
    <w:rsid w:val="0055725E"/>
    <w:rsid w:val="0055749F"/>
    <w:rsid w:val="0056048F"/>
    <w:rsid w:val="005633FF"/>
    <w:rsid w:val="00566379"/>
    <w:rsid w:val="0057111E"/>
    <w:rsid w:val="005715BF"/>
    <w:rsid w:val="005725A8"/>
    <w:rsid w:val="00572C9B"/>
    <w:rsid w:val="005732C6"/>
    <w:rsid w:val="005745D0"/>
    <w:rsid w:val="0057506F"/>
    <w:rsid w:val="00577F2D"/>
    <w:rsid w:val="0058305D"/>
    <w:rsid w:val="00583787"/>
    <w:rsid w:val="00585CEE"/>
    <w:rsid w:val="00585D6B"/>
    <w:rsid w:val="00587A2A"/>
    <w:rsid w:val="0059548E"/>
    <w:rsid w:val="00595D9C"/>
    <w:rsid w:val="00597962"/>
    <w:rsid w:val="005A0369"/>
    <w:rsid w:val="005A56ED"/>
    <w:rsid w:val="005A6C34"/>
    <w:rsid w:val="005A78D0"/>
    <w:rsid w:val="005B44F4"/>
    <w:rsid w:val="005B4D36"/>
    <w:rsid w:val="005B5085"/>
    <w:rsid w:val="005B50AC"/>
    <w:rsid w:val="005B6D87"/>
    <w:rsid w:val="005C1426"/>
    <w:rsid w:val="005C3160"/>
    <w:rsid w:val="005C5E4F"/>
    <w:rsid w:val="005C606A"/>
    <w:rsid w:val="005C60BE"/>
    <w:rsid w:val="005C6E23"/>
    <w:rsid w:val="005C7326"/>
    <w:rsid w:val="005D74C1"/>
    <w:rsid w:val="005D79F5"/>
    <w:rsid w:val="005E34D1"/>
    <w:rsid w:val="005E3B3A"/>
    <w:rsid w:val="005E460B"/>
    <w:rsid w:val="005E6AFC"/>
    <w:rsid w:val="005F17AA"/>
    <w:rsid w:val="005F6F5F"/>
    <w:rsid w:val="00604101"/>
    <w:rsid w:val="00617482"/>
    <w:rsid w:val="0061772B"/>
    <w:rsid w:val="00623CA4"/>
    <w:rsid w:val="006241E1"/>
    <w:rsid w:val="00624216"/>
    <w:rsid w:val="006249D3"/>
    <w:rsid w:val="00625BD9"/>
    <w:rsid w:val="006270A5"/>
    <w:rsid w:val="006336DD"/>
    <w:rsid w:val="006359F5"/>
    <w:rsid w:val="006410C0"/>
    <w:rsid w:val="006424EF"/>
    <w:rsid w:val="00644037"/>
    <w:rsid w:val="00646906"/>
    <w:rsid w:val="00651A5F"/>
    <w:rsid w:val="00652D0A"/>
    <w:rsid w:val="006540A5"/>
    <w:rsid w:val="00660720"/>
    <w:rsid w:val="0066174F"/>
    <w:rsid w:val="00661C3D"/>
    <w:rsid w:val="00661EBF"/>
    <w:rsid w:val="006632DD"/>
    <w:rsid w:val="00663AD0"/>
    <w:rsid w:val="006666F0"/>
    <w:rsid w:val="00673740"/>
    <w:rsid w:val="00675F36"/>
    <w:rsid w:val="00680B45"/>
    <w:rsid w:val="0068572B"/>
    <w:rsid w:val="00686044"/>
    <w:rsid w:val="00687ACD"/>
    <w:rsid w:val="00692584"/>
    <w:rsid w:val="00693559"/>
    <w:rsid w:val="00695297"/>
    <w:rsid w:val="006A252C"/>
    <w:rsid w:val="006A50DE"/>
    <w:rsid w:val="006A6CD0"/>
    <w:rsid w:val="006A76EA"/>
    <w:rsid w:val="006B102B"/>
    <w:rsid w:val="006B1E09"/>
    <w:rsid w:val="006B69BE"/>
    <w:rsid w:val="006B7266"/>
    <w:rsid w:val="006B77EF"/>
    <w:rsid w:val="006C0CB8"/>
    <w:rsid w:val="006C2C2E"/>
    <w:rsid w:val="006C41E7"/>
    <w:rsid w:val="006C5727"/>
    <w:rsid w:val="006C615D"/>
    <w:rsid w:val="006C6550"/>
    <w:rsid w:val="006C7392"/>
    <w:rsid w:val="006D0ECA"/>
    <w:rsid w:val="006D6D23"/>
    <w:rsid w:val="006E0165"/>
    <w:rsid w:val="006E2040"/>
    <w:rsid w:val="006E6B1E"/>
    <w:rsid w:val="006E7947"/>
    <w:rsid w:val="006F29EA"/>
    <w:rsid w:val="006F60D3"/>
    <w:rsid w:val="006F70BE"/>
    <w:rsid w:val="00701B4B"/>
    <w:rsid w:val="007022BC"/>
    <w:rsid w:val="00703711"/>
    <w:rsid w:val="0070516D"/>
    <w:rsid w:val="00710CC3"/>
    <w:rsid w:val="00712E4F"/>
    <w:rsid w:val="00713F88"/>
    <w:rsid w:val="00714EC2"/>
    <w:rsid w:val="00715B56"/>
    <w:rsid w:val="00715DA7"/>
    <w:rsid w:val="007210AD"/>
    <w:rsid w:val="007376C8"/>
    <w:rsid w:val="00754020"/>
    <w:rsid w:val="00754FBB"/>
    <w:rsid w:val="00760E21"/>
    <w:rsid w:val="00761728"/>
    <w:rsid w:val="007628F1"/>
    <w:rsid w:val="007665CE"/>
    <w:rsid w:val="0076695A"/>
    <w:rsid w:val="00766EA0"/>
    <w:rsid w:val="007715EE"/>
    <w:rsid w:val="007748F3"/>
    <w:rsid w:val="00776FEE"/>
    <w:rsid w:val="007821D6"/>
    <w:rsid w:val="00782688"/>
    <w:rsid w:val="00784B84"/>
    <w:rsid w:val="007857EB"/>
    <w:rsid w:val="00787E56"/>
    <w:rsid w:val="00792938"/>
    <w:rsid w:val="00794844"/>
    <w:rsid w:val="00794D67"/>
    <w:rsid w:val="00795416"/>
    <w:rsid w:val="0079738D"/>
    <w:rsid w:val="00797E5D"/>
    <w:rsid w:val="007A227D"/>
    <w:rsid w:val="007A4741"/>
    <w:rsid w:val="007A60A8"/>
    <w:rsid w:val="007B2576"/>
    <w:rsid w:val="007B576E"/>
    <w:rsid w:val="007B5C28"/>
    <w:rsid w:val="007B606E"/>
    <w:rsid w:val="007C0327"/>
    <w:rsid w:val="007C07D0"/>
    <w:rsid w:val="007C43AE"/>
    <w:rsid w:val="007C484F"/>
    <w:rsid w:val="007C4EB4"/>
    <w:rsid w:val="007C6CA8"/>
    <w:rsid w:val="007C7D78"/>
    <w:rsid w:val="007D1321"/>
    <w:rsid w:val="007D177D"/>
    <w:rsid w:val="007D2B85"/>
    <w:rsid w:val="007D2C7A"/>
    <w:rsid w:val="007D312C"/>
    <w:rsid w:val="007D5151"/>
    <w:rsid w:val="007D7F75"/>
    <w:rsid w:val="007E08E1"/>
    <w:rsid w:val="007E207C"/>
    <w:rsid w:val="007E45E9"/>
    <w:rsid w:val="007E6448"/>
    <w:rsid w:val="007E7FF3"/>
    <w:rsid w:val="007F02B2"/>
    <w:rsid w:val="007F1174"/>
    <w:rsid w:val="007F245C"/>
    <w:rsid w:val="00800C67"/>
    <w:rsid w:val="008025D0"/>
    <w:rsid w:val="00802B34"/>
    <w:rsid w:val="00803A04"/>
    <w:rsid w:val="00810CBB"/>
    <w:rsid w:val="00810F15"/>
    <w:rsid w:val="00811303"/>
    <w:rsid w:val="00815783"/>
    <w:rsid w:val="00817077"/>
    <w:rsid w:val="0082343F"/>
    <w:rsid w:val="00824846"/>
    <w:rsid w:val="00826826"/>
    <w:rsid w:val="00831BA5"/>
    <w:rsid w:val="008376EE"/>
    <w:rsid w:val="008421FC"/>
    <w:rsid w:val="00843DBB"/>
    <w:rsid w:val="008500A4"/>
    <w:rsid w:val="00850D63"/>
    <w:rsid w:val="008557DC"/>
    <w:rsid w:val="00855E4F"/>
    <w:rsid w:val="00856BCB"/>
    <w:rsid w:val="00860626"/>
    <w:rsid w:val="00861832"/>
    <w:rsid w:val="008649EB"/>
    <w:rsid w:val="00866048"/>
    <w:rsid w:val="00866860"/>
    <w:rsid w:val="00871E0E"/>
    <w:rsid w:val="00872BF8"/>
    <w:rsid w:val="00873328"/>
    <w:rsid w:val="008747C8"/>
    <w:rsid w:val="008752D5"/>
    <w:rsid w:val="00876B63"/>
    <w:rsid w:val="00877C57"/>
    <w:rsid w:val="00880BB0"/>
    <w:rsid w:val="008823C6"/>
    <w:rsid w:val="00887568"/>
    <w:rsid w:val="0089025A"/>
    <w:rsid w:val="0089062C"/>
    <w:rsid w:val="008917F4"/>
    <w:rsid w:val="008A0F26"/>
    <w:rsid w:val="008A2343"/>
    <w:rsid w:val="008A4890"/>
    <w:rsid w:val="008A4F80"/>
    <w:rsid w:val="008B0AC5"/>
    <w:rsid w:val="008B0AEF"/>
    <w:rsid w:val="008B1125"/>
    <w:rsid w:val="008B2C58"/>
    <w:rsid w:val="008B41B2"/>
    <w:rsid w:val="008B4D41"/>
    <w:rsid w:val="008B74DD"/>
    <w:rsid w:val="008C082D"/>
    <w:rsid w:val="008C2893"/>
    <w:rsid w:val="008C3FCA"/>
    <w:rsid w:val="008C4E60"/>
    <w:rsid w:val="008C4E8E"/>
    <w:rsid w:val="008C4E99"/>
    <w:rsid w:val="008C7816"/>
    <w:rsid w:val="008D1187"/>
    <w:rsid w:val="008D3792"/>
    <w:rsid w:val="008D59D6"/>
    <w:rsid w:val="008E1D44"/>
    <w:rsid w:val="008E253F"/>
    <w:rsid w:val="008E7D5C"/>
    <w:rsid w:val="008F0EE9"/>
    <w:rsid w:val="008F1CB0"/>
    <w:rsid w:val="008F21FD"/>
    <w:rsid w:val="008F29D4"/>
    <w:rsid w:val="00900098"/>
    <w:rsid w:val="00903C46"/>
    <w:rsid w:val="0090476F"/>
    <w:rsid w:val="00906209"/>
    <w:rsid w:val="00906BFA"/>
    <w:rsid w:val="00906D25"/>
    <w:rsid w:val="00907BE7"/>
    <w:rsid w:val="00911038"/>
    <w:rsid w:val="00912592"/>
    <w:rsid w:val="00912D27"/>
    <w:rsid w:val="009172AA"/>
    <w:rsid w:val="00922DA3"/>
    <w:rsid w:val="009241E9"/>
    <w:rsid w:val="0092421B"/>
    <w:rsid w:val="00934082"/>
    <w:rsid w:val="00934B51"/>
    <w:rsid w:val="00936C0C"/>
    <w:rsid w:val="00936C35"/>
    <w:rsid w:val="00941BC5"/>
    <w:rsid w:val="00945FB3"/>
    <w:rsid w:val="0094664A"/>
    <w:rsid w:val="0095579D"/>
    <w:rsid w:val="0095757E"/>
    <w:rsid w:val="0096309C"/>
    <w:rsid w:val="00965F19"/>
    <w:rsid w:val="00972BFE"/>
    <w:rsid w:val="00972D84"/>
    <w:rsid w:val="0097401A"/>
    <w:rsid w:val="00974E35"/>
    <w:rsid w:val="00975590"/>
    <w:rsid w:val="00975938"/>
    <w:rsid w:val="0097700A"/>
    <w:rsid w:val="00984B22"/>
    <w:rsid w:val="00985A0E"/>
    <w:rsid w:val="00986E45"/>
    <w:rsid w:val="00993CB0"/>
    <w:rsid w:val="00994238"/>
    <w:rsid w:val="00996771"/>
    <w:rsid w:val="00997A3E"/>
    <w:rsid w:val="009A6762"/>
    <w:rsid w:val="009A7E3E"/>
    <w:rsid w:val="009B0B1C"/>
    <w:rsid w:val="009B35D7"/>
    <w:rsid w:val="009B49C8"/>
    <w:rsid w:val="009B530D"/>
    <w:rsid w:val="009C36CA"/>
    <w:rsid w:val="009D413E"/>
    <w:rsid w:val="009E2FE1"/>
    <w:rsid w:val="009E3513"/>
    <w:rsid w:val="009E38D4"/>
    <w:rsid w:val="009E598A"/>
    <w:rsid w:val="009F0910"/>
    <w:rsid w:val="009F1A6D"/>
    <w:rsid w:val="009F4135"/>
    <w:rsid w:val="009F4A3E"/>
    <w:rsid w:val="009F621C"/>
    <w:rsid w:val="00A0420E"/>
    <w:rsid w:val="00A043D3"/>
    <w:rsid w:val="00A06DB7"/>
    <w:rsid w:val="00A11DAD"/>
    <w:rsid w:val="00A142D6"/>
    <w:rsid w:val="00A14BBF"/>
    <w:rsid w:val="00A21137"/>
    <w:rsid w:val="00A22868"/>
    <w:rsid w:val="00A24584"/>
    <w:rsid w:val="00A26E43"/>
    <w:rsid w:val="00A332B6"/>
    <w:rsid w:val="00A34AC5"/>
    <w:rsid w:val="00A40186"/>
    <w:rsid w:val="00A4026F"/>
    <w:rsid w:val="00A43F3C"/>
    <w:rsid w:val="00A4533B"/>
    <w:rsid w:val="00A46E57"/>
    <w:rsid w:val="00A503F0"/>
    <w:rsid w:val="00A50DF4"/>
    <w:rsid w:val="00A534D1"/>
    <w:rsid w:val="00A55097"/>
    <w:rsid w:val="00A5631F"/>
    <w:rsid w:val="00A615E9"/>
    <w:rsid w:val="00A651E6"/>
    <w:rsid w:val="00A67C52"/>
    <w:rsid w:val="00A67D6E"/>
    <w:rsid w:val="00A70B80"/>
    <w:rsid w:val="00A7197A"/>
    <w:rsid w:val="00A7762F"/>
    <w:rsid w:val="00A81DF4"/>
    <w:rsid w:val="00A85C96"/>
    <w:rsid w:val="00A8644A"/>
    <w:rsid w:val="00A91023"/>
    <w:rsid w:val="00A9125F"/>
    <w:rsid w:val="00A924F9"/>
    <w:rsid w:val="00A93F4F"/>
    <w:rsid w:val="00A957CA"/>
    <w:rsid w:val="00A9667A"/>
    <w:rsid w:val="00AA3463"/>
    <w:rsid w:val="00AA46E8"/>
    <w:rsid w:val="00AA59EE"/>
    <w:rsid w:val="00AA64A4"/>
    <w:rsid w:val="00AB1128"/>
    <w:rsid w:val="00AB3B92"/>
    <w:rsid w:val="00AB3BF6"/>
    <w:rsid w:val="00AB4046"/>
    <w:rsid w:val="00AB5224"/>
    <w:rsid w:val="00AB75D5"/>
    <w:rsid w:val="00AC36BC"/>
    <w:rsid w:val="00AC54CD"/>
    <w:rsid w:val="00AC56C9"/>
    <w:rsid w:val="00AC672F"/>
    <w:rsid w:val="00AC6D53"/>
    <w:rsid w:val="00AD4017"/>
    <w:rsid w:val="00AD69E8"/>
    <w:rsid w:val="00AE2B85"/>
    <w:rsid w:val="00AF0A37"/>
    <w:rsid w:val="00AF490D"/>
    <w:rsid w:val="00AF5002"/>
    <w:rsid w:val="00B010BD"/>
    <w:rsid w:val="00B07226"/>
    <w:rsid w:val="00B10B9A"/>
    <w:rsid w:val="00B114D3"/>
    <w:rsid w:val="00B125C7"/>
    <w:rsid w:val="00B12CF9"/>
    <w:rsid w:val="00B17D48"/>
    <w:rsid w:val="00B20731"/>
    <w:rsid w:val="00B20852"/>
    <w:rsid w:val="00B21F2F"/>
    <w:rsid w:val="00B2312D"/>
    <w:rsid w:val="00B23AB6"/>
    <w:rsid w:val="00B242BA"/>
    <w:rsid w:val="00B24B2B"/>
    <w:rsid w:val="00B2653C"/>
    <w:rsid w:val="00B302E5"/>
    <w:rsid w:val="00B3379C"/>
    <w:rsid w:val="00B35C41"/>
    <w:rsid w:val="00B36439"/>
    <w:rsid w:val="00B37554"/>
    <w:rsid w:val="00B378DA"/>
    <w:rsid w:val="00B417DC"/>
    <w:rsid w:val="00B41A6B"/>
    <w:rsid w:val="00B46F0E"/>
    <w:rsid w:val="00B511B3"/>
    <w:rsid w:val="00B54677"/>
    <w:rsid w:val="00B556AD"/>
    <w:rsid w:val="00B60D67"/>
    <w:rsid w:val="00B63347"/>
    <w:rsid w:val="00B64C64"/>
    <w:rsid w:val="00B65445"/>
    <w:rsid w:val="00B655EE"/>
    <w:rsid w:val="00B658C0"/>
    <w:rsid w:val="00B65C39"/>
    <w:rsid w:val="00B670C0"/>
    <w:rsid w:val="00B7459F"/>
    <w:rsid w:val="00B766A0"/>
    <w:rsid w:val="00B7744E"/>
    <w:rsid w:val="00B8184A"/>
    <w:rsid w:val="00B82870"/>
    <w:rsid w:val="00B82985"/>
    <w:rsid w:val="00B845D2"/>
    <w:rsid w:val="00B86ED6"/>
    <w:rsid w:val="00B91458"/>
    <w:rsid w:val="00B924CC"/>
    <w:rsid w:val="00B93E66"/>
    <w:rsid w:val="00B95C67"/>
    <w:rsid w:val="00BA224F"/>
    <w:rsid w:val="00BA2D9B"/>
    <w:rsid w:val="00BA3941"/>
    <w:rsid w:val="00BA3E98"/>
    <w:rsid w:val="00BA4676"/>
    <w:rsid w:val="00BA4AC1"/>
    <w:rsid w:val="00BA5D80"/>
    <w:rsid w:val="00BA7226"/>
    <w:rsid w:val="00BB05DA"/>
    <w:rsid w:val="00BB26CA"/>
    <w:rsid w:val="00BB4AEE"/>
    <w:rsid w:val="00BB4FA6"/>
    <w:rsid w:val="00BC0394"/>
    <w:rsid w:val="00BC3616"/>
    <w:rsid w:val="00BC3973"/>
    <w:rsid w:val="00BC6473"/>
    <w:rsid w:val="00BC6E20"/>
    <w:rsid w:val="00BD53C7"/>
    <w:rsid w:val="00BD58C7"/>
    <w:rsid w:val="00BE0A87"/>
    <w:rsid w:val="00BE1934"/>
    <w:rsid w:val="00BE4467"/>
    <w:rsid w:val="00BE5459"/>
    <w:rsid w:val="00BE5692"/>
    <w:rsid w:val="00BE5C33"/>
    <w:rsid w:val="00BE621B"/>
    <w:rsid w:val="00BF592F"/>
    <w:rsid w:val="00C03C30"/>
    <w:rsid w:val="00C05384"/>
    <w:rsid w:val="00C057C0"/>
    <w:rsid w:val="00C05E67"/>
    <w:rsid w:val="00C07DF5"/>
    <w:rsid w:val="00C11805"/>
    <w:rsid w:val="00C12088"/>
    <w:rsid w:val="00C12474"/>
    <w:rsid w:val="00C13F24"/>
    <w:rsid w:val="00C14268"/>
    <w:rsid w:val="00C158DF"/>
    <w:rsid w:val="00C16FDA"/>
    <w:rsid w:val="00C2454D"/>
    <w:rsid w:val="00C24F88"/>
    <w:rsid w:val="00C253AB"/>
    <w:rsid w:val="00C25646"/>
    <w:rsid w:val="00C26ED1"/>
    <w:rsid w:val="00C315C9"/>
    <w:rsid w:val="00C32E0A"/>
    <w:rsid w:val="00C36162"/>
    <w:rsid w:val="00C40790"/>
    <w:rsid w:val="00C42D51"/>
    <w:rsid w:val="00C4368C"/>
    <w:rsid w:val="00C43CB2"/>
    <w:rsid w:val="00C44ADD"/>
    <w:rsid w:val="00C458AE"/>
    <w:rsid w:val="00C46661"/>
    <w:rsid w:val="00C50883"/>
    <w:rsid w:val="00C53D4D"/>
    <w:rsid w:val="00C53E8A"/>
    <w:rsid w:val="00C5692A"/>
    <w:rsid w:val="00C56F5C"/>
    <w:rsid w:val="00C60AC6"/>
    <w:rsid w:val="00C6124A"/>
    <w:rsid w:val="00C64E2B"/>
    <w:rsid w:val="00C64E64"/>
    <w:rsid w:val="00C70804"/>
    <w:rsid w:val="00C70C99"/>
    <w:rsid w:val="00C74ED2"/>
    <w:rsid w:val="00C769FE"/>
    <w:rsid w:val="00C8008C"/>
    <w:rsid w:val="00C80865"/>
    <w:rsid w:val="00C83008"/>
    <w:rsid w:val="00C85026"/>
    <w:rsid w:val="00C915A7"/>
    <w:rsid w:val="00C92608"/>
    <w:rsid w:val="00C92EF8"/>
    <w:rsid w:val="00C9364C"/>
    <w:rsid w:val="00C940CF"/>
    <w:rsid w:val="00C95F1B"/>
    <w:rsid w:val="00C96C57"/>
    <w:rsid w:val="00CA44C8"/>
    <w:rsid w:val="00CB05A1"/>
    <w:rsid w:val="00CB05C7"/>
    <w:rsid w:val="00CB0BDC"/>
    <w:rsid w:val="00CB6844"/>
    <w:rsid w:val="00CC02E9"/>
    <w:rsid w:val="00CD0326"/>
    <w:rsid w:val="00CD05F6"/>
    <w:rsid w:val="00CD160A"/>
    <w:rsid w:val="00CD28A8"/>
    <w:rsid w:val="00CD3156"/>
    <w:rsid w:val="00CD577C"/>
    <w:rsid w:val="00CE3B91"/>
    <w:rsid w:val="00CE4F15"/>
    <w:rsid w:val="00CE7263"/>
    <w:rsid w:val="00CE7D62"/>
    <w:rsid w:val="00CF0238"/>
    <w:rsid w:val="00CF03D3"/>
    <w:rsid w:val="00CF24B4"/>
    <w:rsid w:val="00CF3D62"/>
    <w:rsid w:val="00CF4DF3"/>
    <w:rsid w:val="00CF5020"/>
    <w:rsid w:val="00CF663E"/>
    <w:rsid w:val="00D00A88"/>
    <w:rsid w:val="00D02110"/>
    <w:rsid w:val="00D0238D"/>
    <w:rsid w:val="00D02E41"/>
    <w:rsid w:val="00D0321B"/>
    <w:rsid w:val="00D07840"/>
    <w:rsid w:val="00D07ACA"/>
    <w:rsid w:val="00D07E6E"/>
    <w:rsid w:val="00D10669"/>
    <w:rsid w:val="00D1223D"/>
    <w:rsid w:val="00D136E5"/>
    <w:rsid w:val="00D14739"/>
    <w:rsid w:val="00D14F19"/>
    <w:rsid w:val="00D1627D"/>
    <w:rsid w:val="00D20577"/>
    <w:rsid w:val="00D21A44"/>
    <w:rsid w:val="00D25C7B"/>
    <w:rsid w:val="00D318C8"/>
    <w:rsid w:val="00D35C61"/>
    <w:rsid w:val="00D37418"/>
    <w:rsid w:val="00D4041B"/>
    <w:rsid w:val="00D40F43"/>
    <w:rsid w:val="00D42FCA"/>
    <w:rsid w:val="00D453CF"/>
    <w:rsid w:val="00D4557C"/>
    <w:rsid w:val="00D505F7"/>
    <w:rsid w:val="00D50C6F"/>
    <w:rsid w:val="00D527CF"/>
    <w:rsid w:val="00D54220"/>
    <w:rsid w:val="00D56558"/>
    <w:rsid w:val="00D566B5"/>
    <w:rsid w:val="00D6258A"/>
    <w:rsid w:val="00D65C2C"/>
    <w:rsid w:val="00D6661A"/>
    <w:rsid w:val="00D70EB3"/>
    <w:rsid w:val="00D71763"/>
    <w:rsid w:val="00D72E68"/>
    <w:rsid w:val="00D75567"/>
    <w:rsid w:val="00D7647D"/>
    <w:rsid w:val="00D77D64"/>
    <w:rsid w:val="00D80F7B"/>
    <w:rsid w:val="00D81CA6"/>
    <w:rsid w:val="00D83080"/>
    <w:rsid w:val="00D86167"/>
    <w:rsid w:val="00D86AD0"/>
    <w:rsid w:val="00D90E3A"/>
    <w:rsid w:val="00D910C0"/>
    <w:rsid w:val="00D9154A"/>
    <w:rsid w:val="00D916D7"/>
    <w:rsid w:val="00D9197C"/>
    <w:rsid w:val="00D973EB"/>
    <w:rsid w:val="00DA2E83"/>
    <w:rsid w:val="00DA75AB"/>
    <w:rsid w:val="00DB1E80"/>
    <w:rsid w:val="00DB3A9B"/>
    <w:rsid w:val="00DB563F"/>
    <w:rsid w:val="00DB7524"/>
    <w:rsid w:val="00DC1222"/>
    <w:rsid w:val="00DC5204"/>
    <w:rsid w:val="00DC7529"/>
    <w:rsid w:val="00DC7DDD"/>
    <w:rsid w:val="00DD1A33"/>
    <w:rsid w:val="00DD386C"/>
    <w:rsid w:val="00DD3D4A"/>
    <w:rsid w:val="00DD4B63"/>
    <w:rsid w:val="00DD53FE"/>
    <w:rsid w:val="00DD5776"/>
    <w:rsid w:val="00DE0441"/>
    <w:rsid w:val="00DE217B"/>
    <w:rsid w:val="00DE4CB9"/>
    <w:rsid w:val="00DE558F"/>
    <w:rsid w:val="00DE5920"/>
    <w:rsid w:val="00DE696B"/>
    <w:rsid w:val="00DF1B82"/>
    <w:rsid w:val="00DF23DA"/>
    <w:rsid w:val="00DF2BD8"/>
    <w:rsid w:val="00E034A2"/>
    <w:rsid w:val="00E03A10"/>
    <w:rsid w:val="00E071AF"/>
    <w:rsid w:val="00E1039A"/>
    <w:rsid w:val="00E10713"/>
    <w:rsid w:val="00E13307"/>
    <w:rsid w:val="00E14724"/>
    <w:rsid w:val="00E17999"/>
    <w:rsid w:val="00E17F71"/>
    <w:rsid w:val="00E2097B"/>
    <w:rsid w:val="00E21BA3"/>
    <w:rsid w:val="00E26F8C"/>
    <w:rsid w:val="00E2742D"/>
    <w:rsid w:val="00E30EFA"/>
    <w:rsid w:val="00E317D7"/>
    <w:rsid w:val="00E320AB"/>
    <w:rsid w:val="00E323EA"/>
    <w:rsid w:val="00E3442F"/>
    <w:rsid w:val="00E349AC"/>
    <w:rsid w:val="00E36462"/>
    <w:rsid w:val="00E413D9"/>
    <w:rsid w:val="00E41729"/>
    <w:rsid w:val="00E43A16"/>
    <w:rsid w:val="00E442DC"/>
    <w:rsid w:val="00E4524A"/>
    <w:rsid w:val="00E453C6"/>
    <w:rsid w:val="00E45E3E"/>
    <w:rsid w:val="00E462D8"/>
    <w:rsid w:val="00E468A2"/>
    <w:rsid w:val="00E47A9A"/>
    <w:rsid w:val="00E549D7"/>
    <w:rsid w:val="00E562C9"/>
    <w:rsid w:val="00E57807"/>
    <w:rsid w:val="00E708B0"/>
    <w:rsid w:val="00E7164D"/>
    <w:rsid w:val="00E74CA4"/>
    <w:rsid w:val="00E7648C"/>
    <w:rsid w:val="00E83EC6"/>
    <w:rsid w:val="00E872AF"/>
    <w:rsid w:val="00E95643"/>
    <w:rsid w:val="00EA02FC"/>
    <w:rsid w:val="00EA1E3D"/>
    <w:rsid w:val="00EA65AB"/>
    <w:rsid w:val="00EA79E8"/>
    <w:rsid w:val="00EB1475"/>
    <w:rsid w:val="00EB1CB8"/>
    <w:rsid w:val="00EB2DC1"/>
    <w:rsid w:val="00EB55E5"/>
    <w:rsid w:val="00EB60B5"/>
    <w:rsid w:val="00EC2E78"/>
    <w:rsid w:val="00EC7AB8"/>
    <w:rsid w:val="00ED0A0E"/>
    <w:rsid w:val="00ED4532"/>
    <w:rsid w:val="00ED4622"/>
    <w:rsid w:val="00ED6B07"/>
    <w:rsid w:val="00EE171D"/>
    <w:rsid w:val="00EE185E"/>
    <w:rsid w:val="00EE4906"/>
    <w:rsid w:val="00EE5A41"/>
    <w:rsid w:val="00EE7F7C"/>
    <w:rsid w:val="00EF0CFD"/>
    <w:rsid w:val="00EF2B95"/>
    <w:rsid w:val="00EF3BD1"/>
    <w:rsid w:val="00EF7672"/>
    <w:rsid w:val="00F04E08"/>
    <w:rsid w:val="00F05DE4"/>
    <w:rsid w:val="00F06D67"/>
    <w:rsid w:val="00F07495"/>
    <w:rsid w:val="00F1031F"/>
    <w:rsid w:val="00F11859"/>
    <w:rsid w:val="00F13C37"/>
    <w:rsid w:val="00F14324"/>
    <w:rsid w:val="00F150C0"/>
    <w:rsid w:val="00F20A20"/>
    <w:rsid w:val="00F210CE"/>
    <w:rsid w:val="00F2196F"/>
    <w:rsid w:val="00F3359E"/>
    <w:rsid w:val="00F34200"/>
    <w:rsid w:val="00F3670D"/>
    <w:rsid w:val="00F3747F"/>
    <w:rsid w:val="00F40C24"/>
    <w:rsid w:val="00F41728"/>
    <w:rsid w:val="00F439F2"/>
    <w:rsid w:val="00F43FC8"/>
    <w:rsid w:val="00F4565A"/>
    <w:rsid w:val="00F46914"/>
    <w:rsid w:val="00F50CA8"/>
    <w:rsid w:val="00F51C74"/>
    <w:rsid w:val="00F521D4"/>
    <w:rsid w:val="00F549B0"/>
    <w:rsid w:val="00F6155C"/>
    <w:rsid w:val="00F65DB7"/>
    <w:rsid w:val="00F67222"/>
    <w:rsid w:val="00F72766"/>
    <w:rsid w:val="00F72AB3"/>
    <w:rsid w:val="00F730CA"/>
    <w:rsid w:val="00F769CD"/>
    <w:rsid w:val="00F77624"/>
    <w:rsid w:val="00F81EFC"/>
    <w:rsid w:val="00F9011B"/>
    <w:rsid w:val="00F90973"/>
    <w:rsid w:val="00F94111"/>
    <w:rsid w:val="00F96532"/>
    <w:rsid w:val="00F96F35"/>
    <w:rsid w:val="00FA00F0"/>
    <w:rsid w:val="00FA0353"/>
    <w:rsid w:val="00FA0843"/>
    <w:rsid w:val="00FA1D4C"/>
    <w:rsid w:val="00FB0F92"/>
    <w:rsid w:val="00FB4792"/>
    <w:rsid w:val="00FB49DD"/>
    <w:rsid w:val="00FB7436"/>
    <w:rsid w:val="00FB798F"/>
    <w:rsid w:val="00FC6168"/>
    <w:rsid w:val="00FC731B"/>
    <w:rsid w:val="00FC73EC"/>
    <w:rsid w:val="00FE06E7"/>
    <w:rsid w:val="00FE1A0E"/>
    <w:rsid w:val="00FE315C"/>
    <w:rsid w:val="00FF043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90452A"/>
  <w15:docId w15:val="{BF6AE648-E0E6-4FE0-8B44-6F3289275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7A70"/>
    <w:pPr>
      <w:spacing w:after="120" w:line="240" w:lineRule="auto"/>
      <w:jc w:val="both"/>
    </w:pPr>
  </w:style>
  <w:style w:type="paragraph" w:styleId="Titre1">
    <w:name w:val="heading 1"/>
    <w:aliases w:val="Titre du Communiqué,Gros Titres Parties AO,§1.,Título,1,Títul,Chapitre,Chapitre Car,para,ARIAL R 18,titre 2,AQ-TITRE1,Chapter,Titre principal1,Titre principal2,Titre principal11,Titre 1 - 2.2.3.3,heading 1,Tt 1,TITRE 1,I.,CHAP1,CHAPITRE,ARTICLE"/>
    <w:basedOn w:val="Normal"/>
    <w:next w:val="Normal"/>
    <w:link w:val="Titre1Car"/>
    <w:autoRedefine/>
    <w:uiPriority w:val="99"/>
    <w:qFormat/>
    <w:rsid w:val="00A924F9"/>
    <w:pPr>
      <w:keepNext/>
      <w:keepLines/>
      <w:numPr>
        <w:numId w:val="1"/>
      </w:numPr>
      <w:spacing w:before="360" w:after="240"/>
      <w:ind w:left="1140" w:hanging="431"/>
      <w:jc w:val="left"/>
      <w:outlineLvl w:val="0"/>
    </w:pPr>
    <w:rPr>
      <w:rFonts w:ascii="Futura-Medium" w:eastAsiaTheme="majorEastAsia" w:hAnsi="Futura-Medium" w:cstheme="majorBidi"/>
      <w:b/>
      <w:bCs/>
      <w:color w:val="A83B22"/>
      <w:sz w:val="28"/>
      <w:szCs w:val="28"/>
    </w:rPr>
  </w:style>
  <w:style w:type="paragraph" w:styleId="Titre2">
    <w:name w:val="heading 2"/>
    <w:aliases w:val="Titre AO,0505 Titre,Edf Titre 2,§1.1,§1.1.,sous-chapitre,sous-chapitre Car,TItre 2 perso,Titre 2 Car Car Car Car Car Car Car Car Car,Top 2,Para2...,AQ-TITRE2,Titre2,L2,level 2,2,Titre de chapitre,Titre de chapitre1,Titre de chapitre2"/>
    <w:basedOn w:val="Normal"/>
    <w:next w:val="Normal"/>
    <w:link w:val="Titre2Car"/>
    <w:uiPriority w:val="99"/>
    <w:unhideWhenUsed/>
    <w:qFormat/>
    <w:rsid w:val="00A332B6"/>
    <w:pPr>
      <w:keepNext/>
      <w:keepLines/>
      <w:numPr>
        <w:ilvl w:val="1"/>
        <w:numId w:val="1"/>
      </w:numPr>
      <w:spacing w:before="240" w:after="240"/>
      <w:outlineLvl w:val="1"/>
    </w:pPr>
    <w:rPr>
      <w:rFonts w:asciiTheme="majorHAnsi" w:eastAsiaTheme="majorEastAsia" w:hAnsiTheme="majorHAnsi" w:cstheme="majorBidi"/>
      <w:bCs/>
      <w:color w:val="A83B22"/>
      <w:sz w:val="26"/>
      <w:szCs w:val="26"/>
    </w:rPr>
  </w:style>
  <w:style w:type="paragraph" w:styleId="Titre3">
    <w:name w:val="heading 3"/>
    <w:aliases w:val="Petits titres  AO,Titre 3rapport,§1.1.1,§1.1.1.,Section,Section Car,Titre 3 Car Car Car Car,AQ-TITRE3,Titre3,Titre 3 Car Car,Section SubHeading,level 3,3,Titre de paragraphe,Titre de paragraphe1,Titre de paragraphe2,Titre de paragraphe11,h3,Tt 3"/>
    <w:basedOn w:val="Normal"/>
    <w:next w:val="Normal"/>
    <w:link w:val="Titre3Car"/>
    <w:uiPriority w:val="9"/>
    <w:unhideWhenUsed/>
    <w:qFormat/>
    <w:rsid w:val="00290079"/>
    <w:pPr>
      <w:keepNext/>
      <w:keepLines/>
      <w:numPr>
        <w:ilvl w:val="2"/>
        <w:numId w:val="1"/>
      </w:numPr>
      <w:spacing w:before="200" w:after="240"/>
      <w:outlineLvl w:val="2"/>
    </w:pPr>
    <w:rPr>
      <w:rFonts w:asciiTheme="majorHAnsi" w:eastAsiaTheme="majorEastAsia" w:hAnsiTheme="majorHAnsi" w:cs="Futura Medium"/>
      <w:bCs/>
      <w:color w:val="A83B22"/>
      <w:sz w:val="24"/>
    </w:rPr>
  </w:style>
  <w:style w:type="paragraph" w:styleId="Titre4">
    <w:name w:val="heading 4"/>
    <w:aliases w:val="Titre 4 rapport,§1.1.1.1,§1.1.1.1.,Sous-Section,(NOT SRK4),(NOT SRK4)1,(NOT SRK4)2,(NOT SRK4)3,(NOT SRK4)4,(NOT SRK4)5,(NOT SRK4)6,(NOT SRK4)7,(NOT SRK4)8,(NOT SRK4)9,(NOT SRK4)10,(NOT SRK4)11,(NOT SRK4)12,(NOT SRK4)13,Titre 4 Car Car"/>
    <w:basedOn w:val="Normal"/>
    <w:next w:val="Normal"/>
    <w:link w:val="Titre4Car"/>
    <w:uiPriority w:val="9"/>
    <w:unhideWhenUsed/>
    <w:qFormat/>
    <w:rsid w:val="00A332B6"/>
    <w:pPr>
      <w:keepNext/>
      <w:keepLines/>
      <w:numPr>
        <w:ilvl w:val="3"/>
        <w:numId w:val="1"/>
      </w:numPr>
      <w:spacing w:before="200" w:after="0"/>
      <w:ind w:left="3697" w:hanging="862"/>
      <w:outlineLvl w:val="3"/>
    </w:pPr>
    <w:rPr>
      <w:rFonts w:asciiTheme="majorHAnsi" w:eastAsiaTheme="majorEastAsia" w:hAnsiTheme="majorHAnsi" w:cstheme="majorBidi"/>
      <w:bCs/>
      <w:i/>
      <w:iCs/>
      <w:color w:val="A83B22"/>
    </w:rPr>
  </w:style>
  <w:style w:type="paragraph" w:styleId="Titre5">
    <w:name w:val="heading 5"/>
    <w:aliases w:val="Fig,Heading 5.§1.1.1.1.1.,S/S/S/S/ Chapitre"/>
    <w:basedOn w:val="Normal"/>
    <w:next w:val="Normal"/>
    <w:link w:val="Titre5Car"/>
    <w:uiPriority w:val="9"/>
    <w:unhideWhenUsed/>
    <w:qFormat/>
    <w:rsid w:val="00A332B6"/>
    <w:pPr>
      <w:keepNext/>
      <w:keepLines/>
      <w:numPr>
        <w:ilvl w:val="4"/>
        <w:numId w:val="1"/>
      </w:numPr>
      <w:spacing w:before="200" w:after="0"/>
      <w:ind w:left="3844" w:hanging="1009"/>
      <w:outlineLvl w:val="4"/>
    </w:pPr>
    <w:rPr>
      <w:rFonts w:asciiTheme="majorHAnsi" w:eastAsiaTheme="majorEastAsia" w:hAnsiTheme="majorHAnsi" w:cstheme="majorBidi"/>
      <w:color w:val="A83B22"/>
      <w:sz w:val="21"/>
      <w:u w:val="single"/>
    </w:rPr>
  </w:style>
  <w:style w:type="paragraph" w:styleId="Titre6">
    <w:name w:val="heading 6"/>
    <w:aliases w:val="S/S/S/S/S Chapitre,H6,Ref Heading 3,rh3,Ref Heading 31,rh31,H61,h6,Third Subheading,Annexe 1,Annexe 11,Annexe 12,Annexe 13,Annexe 14,Annexe 15,Annexe 16,Annexe 17,ASAPHeading 6,Bullet list,retrait titre 5,Style Titre 6"/>
    <w:basedOn w:val="Normal"/>
    <w:next w:val="Normal"/>
    <w:link w:val="Titre6Car"/>
    <w:unhideWhenUsed/>
    <w:qFormat/>
    <w:rsid w:val="00A332B6"/>
    <w:pPr>
      <w:keepNext/>
      <w:keepLines/>
      <w:numPr>
        <w:ilvl w:val="5"/>
        <w:numId w:val="1"/>
      </w:numPr>
      <w:spacing w:before="200" w:after="0"/>
      <w:ind w:left="4270" w:hanging="1151"/>
      <w:outlineLvl w:val="5"/>
    </w:pPr>
    <w:rPr>
      <w:rFonts w:asciiTheme="majorHAnsi" w:eastAsiaTheme="majorEastAsia" w:hAnsiTheme="majorHAnsi" w:cstheme="majorBidi"/>
      <w:i/>
      <w:iCs/>
      <w:color w:val="A83B22"/>
      <w:sz w:val="20"/>
      <w:u w:val="single"/>
    </w:rPr>
  </w:style>
  <w:style w:type="paragraph" w:styleId="Titre7">
    <w:name w:val="heading 7"/>
    <w:aliases w:val="H7,Annexe 2,Annexe 21,Annexe 22,Annexe 23,Annexe 24,Annexe 25,Annexe 26,Annexe 27,ASAPHeading 7"/>
    <w:basedOn w:val="Normal"/>
    <w:next w:val="Normal"/>
    <w:link w:val="Titre7Car"/>
    <w:unhideWhenUsed/>
    <w:qFormat/>
    <w:rsid w:val="00ED462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aliases w:val="Synthèse,Titre 8 Car Car Car,Annexe 3,Annexe 31,Annexe 32,Annexe 33,Annexe 34,Annexe 35,Annexe 36,Annexe 37"/>
    <w:basedOn w:val="Normal"/>
    <w:next w:val="Normal"/>
    <w:link w:val="Titre8Car"/>
    <w:unhideWhenUsed/>
    <w:qFormat/>
    <w:rsid w:val="00ED4622"/>
    <w:pPr>
      <w:keepNext/>
      <w:keepLines/>
      <w:numPr>
        <w:ilvl w:val="7"/>
        <w:numId w:val="1"/>
      </w:numPr>
      <w:spacing w:before="200" w:after="0"/>
      <w:outlineLvl w:val="7"/>
    </w:pPr>
    <w:rPr>
      <w:rFonts w:asciiTheme="majorHAnsi" w:eastAsiaTheme="majorEastAsia" w:hAnsiTheme="majorHAnsi" w:cstheme="majorBidi"/>
      <w:color w:val="C7471D" w:themeColor="accent1"/>
      <w:sz w:val="20"/>
      <w:szCs w:val="20"/>
    </w:rPr>
  </w:style>
  <w:style w:type="paragraph" w:styleId="Titre9">
    <w:name w:val="heading 9"/>
    <w:aliases w:val="Titre 10"/>
    <w:basedOn w:val="Normal"/>
    <w:next w:val="Normal"/>
    <w:link w:val="Titre9Car"/>
    <w:unhideWhenUsed/>
    <w:qFormat/>
    <w:rsid w:val="00ED462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denotedefin">
    <w:name w:val="endnote reference"/>
    <w:basedOn w:val="Policepardfaut"/>
    <w:semiHidden/>
    <w:rPr>
      <w:vertAlign w:val="superscript"/>
    </w:rPr>
  </w:style>
  <w:style w:type="character" w:styleId="Appelnotedebasdep">
    <w:name w:val="footnote reference"/>
    <w:aliases w:val="Titre1,-E Fußnotenzeichen,Appel note de bas de p,Footnote,Appel note de bas de page,Footnote symbol,SUPERS"/>
    <w:basedOn w:val="Policepardfaut"/>
    <w:uiPriority w:val="99"/>
    <w:qFormat/>
    <w:rPr>
      <w:vertAlign w:val="superscript"/>
    </w:rPr>
  </w:style>
  <w:style w:type="paragraph" w:styleId="Commentaire">
    <w:name w:val="annotation text"/>
    <w:basedOn w:val="Normal"/>
    <w:link w:val="CommentaireCar"/>
    <w:uiPriority w:val="99"/>
  </w:style>
  <w:style w:type="paragraph" w:styleId="Explorateurdedocuments">
    <w:name w:val="Document Map"/>
    <w:basedOn w:val="Normal"/>
    <w:semiHidden/>
    <w:pPr>
      <w:shd w:val="clear" w:color="auto" w:fill="000080"/>
    </w:pPr>
    <w:rPr>
      <w:rFonts w:ascii="Tahoma" w:hAnsi="Tahoma" w:cs="Tahoma"/>
    </w:r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paragraph" w:styleId="Lgende">
    <w:name w:val="caption"/>
    <w:aliases w:val="annexes,annexes m,Légende Car1,annexes m Car Car,Annexes,Annexes générales,Annexe,Legende, Car16, Car Car Car Car, Car Car Car Car Car Car Car, Car Car Car Car Car,Car16,Car Car Car Car Car Car Car,Car Car Car Car Car, Car3,Car3,Char2,Char3"/>
    <w:basedOn w:val="Normal"/>
    <w:next w:val="Normal"/>
    <w:link w:val="LgendeCar"/>
    <w:uiPriority w:val="35"/>
    <w:unhideWhenUsed/>
    <w:qFormat/>
    <w:rsid w:val="00906209"/>
    <w:rPr>
      <w:b/>
      <w:bCs/>
      <w:color w:val="A83B22"/>
      <w:sz w:val="18"/>
      <w:szCs w:val="18"/>
    </w:rPr>
  </w:style>
  <w:style w:type="character" w:styleId="Marquedecommentaire">
    <w:name w:val="annotation reference"/>
    <w:basedOn w:val="Policepardfaut"/>
    <w:uiPriority w:val="99"/>
    <w:rPr>
      <w:sz w:val="16"/>
      <w:szCs w:val="16"/>
    </w:rPr>
  </w:style>
  <w:style w:type="paragraph" w:styleId="Notedebasdepage">
    <w:name w:val="footnote text"/>
    <w:aliases w:val="Fußnotentext Char,Fußnotentext Char1 Char1,Fußnotentext Char Char Char Char,Fußnotentext Char1 Char Char Char,Fußnotentext Char Char,Fußnotentext Char1 Char Char Char Char,Fußnotentext Char Char Char Char Char Char,Fußnotentext Char1"/>
    <w:basedOn w:val="Normal"/>
    <w:link w:val="NotedebasdepageCar"/>
    <w:uiPriority w:val="99"/>
    <w:qFormat/>
  </w:style>
  <w:style w:type="paragraph" w:styleId="Notedefin">
    <w:name w:val="endnote text"/>
    <w:basedOn w:val="Normal"/>
    <w:semiHidden/>
  </w:style>
  <w:style w:type="paragraph" w:styleId="Tabledesillustrations">
    <w:name w:val="table of figures"/>
    <w:basedOn w:val="Normal"/>
    <w:next w:val="Normal"/>
    <w:uiPriority w:val="99"/>
    <w:pPr>
      <w:ind w:left="400" w:hanging="400"/>
    </w:pPr>
  </w:style>
  <w:style w:type="paragraph" w:styleId="Tabledesrfrencesjuridiques">
    <w:name w:val="table of authorities"/>
    <w:basedOn w:val="Normal"/>
    <w:next w:val="Normal"/>
    <w:semiHidden/>
    <w:pPr>
      <w:ind w:left="200" w:hanging="200"/>
    </w:pPr>
  </w:style>
  <w:style w:type="paragraph" w:styleId="Textedemacro">
    <w:name w:val="macro"/>
    <w:semiHidden/>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spacing w:val="-5"/>
    </w:rPr>
  </w:style>
  <w:style w:type="paragraph" w:styleId="Titreindex">
    <w:name w:val="index heading"/>
    <w:basedOn w:val="Normal"/>
    <w:next w:val="Index1"/>
    <w:semiHidden/>
    <w:rPr>
      <w:rFonts w:cs="Arial"/>
      <w:b/>
      <w:bCs/>
    </w:rPr>
  </w:style>
  <w:style w:type="paragraph" w:styleId="TitreTR">
    <w:name w:val="toa heading"/>
    <w:basedOn w:val="Normal"/>
    <w:next w:val="Normal"/>
    <w:semiHidden/>
    <w:pPr>
      <w:spacing w:before="120"/>
    </w:pPr>
    <w:rPr>
      <w:rFonts w:cs="Arial"/>
      <w:b/>
      <w:bCs/>
      <w:sz w:val="24"/>
      <w:szCs w:val="24"/>
    </w:rPr>
  </w:style>
  <w:style w:type="paragraph" w:styleId="TM1">
    <w:name w:val="toc 1"/>
    <w:basedOn w:val="Normal"/>
    <w:next w:val="Normal"/>
    <w:autoRedefine/>
    <w:uiPriority w:val="39"/>
    <w:pPr>
      <w:spacing w:before="360" w:after="360"/>
      <w:jc w:val="left"/>
    </w:pPr>
    <w:rPr>
      <w:rFonts w:cstheme="minorHAnsi"/>
      <w:b/>
      <w:bCs/>
      <w:caps/>
      <w:u w:val="single"/>
    </w:rPr>
  </w:style>
  <w:style w:type="paragraph" w:styleId="TM2">
    <w:name w:val="toc 2"/>
    <w:basedOn w:val="Normal"/>
    <w:next w:val="Normal"/>
    <w:autoRedefine/>
    <w:uiPriority w:val="39"/>
    <w:pPr>
      <w:spacing w:after="0"/>
      <w:jc w:val="left"/>
    </w:pPr>
    <w:rPr>
      <w:rFonts w:cstheme="minorHAnsi"/>
      <w:b/>
      <w:bCs/>
      <w:smallCaps/>
    </w:rPr>
  </w:style>
  <w:style w:type="paragraph" w:styleId="TM3">
    <w:name w:val="toc 3"/>
    <w:basedOn w:val="Normal"/>
    <w:next w:val="Normal"/>
    <w:autoRedefine/>
    <w:uiPriority w:val="39"/>
    <w:pPr>
      <w:spacing w:after="0"/>
      <w:jc w:val="left"/>
    </w:pPr>
    <w:rPr>
      <w:rFonts w:cstheme="minorHAnsi"/>
      <w:smallCaps/>
    </w:rPr>
  </w:style>
  <w:style w:type="paragraph" w:styleId="TM4">
    <w:name w:val="toc 4"/>
    <w:basedOn w:val="Normal"/>
    <w:next w:val="Normal"/>
    <w:autoRedefine/>
    <w:semiHidden/>
    <w:pPr>
      <w:spacing w:after="0"/>
      <w:jc w:val="left"/>
    </w:pPr>
    <w:rPr>
      <w:rFonts w:cstheme="minorHAnsi"/>
    </w:rPr>
  </w:style>
  <w:style w:type="paragraph" w:styleId="TM5">
    <w:name w:val="toc 5"/>
    <w:basedOn w:val="Normal"/>
    <w:next w:val="Normal"/>
    <w:autoRedefine/>
    <w:semiHidden/>
    <w:pPr>
      <w:spacing w:after="0"/>
      <w:jc w:val="left"/>
    </w:pPr>
    <w:rPr>
      <w:rFonts w:cstheme="minorHAnsi"/>
    </w:rPr>
  </w:style>
  <w:style w:type="paragraph" w:styleId="TM6">
    <w:name w:val="toc 6"/>
    <w:basedOn w:val="Normal"/>
    <w:next w:val="Normal"/>
    <w:autoRedefine/>
    <w:semiHidden/>
    <w:pPr>
      <w:spacing w:after="0"/>
      <w:jc w:val="left"/>
    </w:pPr>
    <w:rPr>
      <w:rFonts w:cstheme="minorHAnsi"/>
    </w:rPr>
  </w:style>
  <w:style w:type="paragraph" w:styleId="TM7">
    <w:name w:val="toc 7"/>
    <w:basedOn w:val="Normal"/>
    <w:next w:val="Normal"/>
    <w:autoRedefine/>
    <w:semiHidden/>
    <w:pPr>
      <w:spacing w:after="0"/>
      <w:jc w:val="left"/>
    </w:pPr>
    <w:rPr>
      <w:rFonts w:cstheme="minorHAnsi"/>
    </w:rPr>
  </w:style>
  <w:style w:type="paragraph" w:styleId="TM8">
    <w:name w:val="toc 8"/>
    <w:basedOn w:val="Normal"/>
    <w:next w:val="Normal"/>
    <w:autoRedefine/>
    <w:semiHidden/>
    <w:pPr>
      <w:spacing w:after="0"/>
      <w:jc w:val="left"/>
    </w:pPr>
    <w:rPr>
      <w:rFonts w:cstheme="minorHAnsi"/>
    </w:rPr>
  </w:style>
  <w:style w:type="paragraph" w:styleId="TM9">
    <w:name w:val="toc 9"/>
    <w:basedOn w:val="Normal"/>
    <w:next w:val="Normal"/>
    <w:autoRedefine/>
    <w:semiHidden/>
    <w:pPr>
      <w:spacing w:after="0"/>
      <w:jc w:val="left"/>
    </w:pPr>
    <w:rPr>
      <w:rFonts w:cstheme="minorHAnsi"/>
    </w:rPr>
  </w:style>
  <w:style w:type="paragraph" w:styleId="Pieddepage">
    <w:name w:val="footer"/>
    <w:basedOn w:val="Normal"/>
    <w:link w:val="PieddepageCar"/>
    <w:uiPriority w:val="99"/>
    <w:pPr>
      <w:tabs>
        <w:tab w:val="center" w:pos="4536"/>
        <w:tab w:val="right" w:pos="9072"/>
      </w:tabs>
    </w:pPr>
    <w:rPr>
      <w:sz w:val="13"/>
      <w:szCs w:val="13"/>
    </w:rPr>
  </w:style>
  <w:style w:type="paragraph" w:styleId="En-tte">
    <w:name w:val="header"/>
    <w:basedOn w:val="Normal"/>
    <w:pPr>
      <w:tabs>
        <w:tab w:val="center" w:pos="4536"/>
        <w:tab w:val="right" w:pos="9072"/>
      </w:tabs>
    </w:pPr>
  </w:style>
  <w:style w:type="character" w:styleId="Numrodepage">
    <w:name w:val="page number"/>
    <w:basedOn w:val="Policepardfaut"/>
    <w:rPr>
      <w:rFonts w:ascii="Arial" w:hAnsi="Arial"/>
      <w:color w:val="CA0014"/>
      <w:sz w:val="16"/>
      <w:szCs w:val="16"/>
    </w:rPr>
  </w:style>
  <w:style w:type="paragraph" w:styleId="Objetducommentaire">
    <w:name w:val="annotation subject"/>
    <w:basedOn w:val="Commentaire"/>
    <w:next w:val="Commentaire"/>
    <w:semiHidden/>
    <w:rPr>
      <w:b/>
      <w:bCs/>
    </w:rPr>
  </w:style>
  <w:style w:type="paragraph" w:styleId="Textedebulles">
    <w:name w:val="Balloon Text"/>
    <w:basedOn w:val="Normal"/>
    <w:semiHidden/>
    <w:rPr>
      <w:rFonts w:ascii="Tahoma" w:hAnsi="Tahoma" w:cs="Tahoma"/>
      <w:sz w:val="16"/>
      <w:szCs w:val="16"/>
    </w:rPr>
  </w:style>
  <w:style w:type="paragraph" w:styleId="Paragraphedeliste">
    <w:name w:val="List Paragraph"/>
    <w:aliases w:val="Normal bullet 2,Grille claire - Accent 31,Lettre d'introduction,Paragraphe de liste num,Paragraphe de liste 1,Listes,Sémaphores Puces,DIP,List Paragraph1,List Paragraph,Normal avec puces tirets,Paragraphe 2,liste 1,Puce niveau 0,lp1"/>
    <w:basedOn w:val="Normal"/>
    <w:link w:val="ParagraphedelisteCar"/>
    <w:uiPriority w:val="34"/>
    <w:qFormat/>
    <w:pPr>
      <w:ind w:left="720"/>
      <w:contextualSpacing/>
    </w:pPr>
  </w:style>
  <w:style w:type="paragraph" w:styleId="Titre">
    <w:name w:val="Title"/>
    <w:basedOn w:val="Normal"/>
    <w:next w:val="Normal"/>
    <w:link w:val="TitreCar"/>
    <w:uiPriority w:val="10"/>
    <w:qFormat/>
    <w:rsid w:val="00A332B6"/>
    <w:pPr>
      <w:spacing w:after="300"/>
      <w:contextualSpacing/>
      <w:jc w:val="center"/>
    </w:pPr>
    <w:rPr>
      <w:rFonts w:asciiTheme="majorHAnsi" w:eastAsiaTheme="majorEastAsia" w:hAnsiTheme="majorHAnsi" w:cs="Futura Medium"/>
      <w:color w:val="A83B22"/>
      <w:spacing w:val="5"/>
      <w:kern w:val="28"/>
      <w:sz w:val="52"/>
      <w:szCs w:val="52"/>
    </w:rPr>
  </w:style>
  <w:style w:type="character" w:customStyle="1" w:styleId="TitreCar">
    <w:name w:val="Titre Car"/>
    <w:basedOn w:val="Policepardfaut"/>
    <w:link w:val="Titre"/>
    <w:uiPriority w:val="10"/>
    <w:rsid w:val="00A332B6"/>
    <w:rPr>
      <w:rFonts w:asciiTheme="majorHAnsi" w:eastAsiaTheme="majorEastAsia" w:hAnsiTheme="majorHAnsi" w:cs="Futura Medium"/>
      <w:noProof/>
      <w:color w:val="A83B22"/>
      <w:spacing w:val="5"/>
      <w:kern w:val="28"/>
      <w:sz w:val="52"/>
      <w:szCs w:val="52"/>
    </w:rPr>
  </w:style>
  <w:style w:type="paragraph" w:styleId="Sous-titre">
    <w:name w:val="Subtitle"/>
    <w:basedOn w:val="Normal"/>
    <w:next w:val="Normal"/>
    <w:link w:val="Sous-titreCar"/>
    <w:uiPriority w:val="11"/>
    <w:qFormat/>
    <w:rsid w:val="00A332B6"/>
    <w:pPr>
      <w:numPr>
        <w:ilvl w:val="1"/>
      </w:numPr>
    </w:pPr>
    <w:rPr>
      <w:rFonts w:asciiTheme="majorHAnsi" w:eastAsiaTheme="majorEastAsia" w:hAnsiTheme="majorHAnsi" w:cstheme="majorBidi"/>
      <w:i/>
      <w:iCs/>
      <w:color w:val="A83B22"/>
      <w:spacing w:val="15"/>
      <w:sz w:val="24"/>
      <w:szCs w:val="24"/>
    </w:rPr>
  </w:style>
  <w:style w:type="character" w:customStyle="1" w:styleId="Sous-titreCar">
    <w:name w:val="Sous-titre Car"/>
    <w:basedOn w:val="Policepardfaut"/>
    <w:link w:val="Sous-titre"/>
    <w:uiPriority w:val="11"/>
    <w:rsid w:val="00A332B6"/>
    <w:rPr>
      <w:rFonts w:asciiTheme="majorHAnsi" w:eastAsiaTheme="majorEastAsia" w:hAnsiTheme="majorHAnsi" w:cstheme="majorBidi"/>
      <w:i/>
      <w:iCs/>
      <w:noProof/>
      <w:color w:val="A83B22"/>
      <w:spacing w:val="15"/>
      <w:sz w:val="24"/>
      <w:szCs w:val="24"/>
    </w:rPr>
  </w:style>
  <w:style w:type="character" w:styleId="Titredulivre">
    <w:name w:val="Book Title"/>
    <w:basedOn w:val="Policepardfaut"/>
    <w:uiPriority w:val="33"/>
    <w:qFormat/>
    <w:rPr>
      <w:b/>
      <w:bCs/>
      <w:smallCaps/>
      <w:spacing w:val="5"/>
    </w:rPr>
  </w:style>
  <w:style w:type="character" w:customStyle="1" w:styleId="apple-converted-space">
    <w:name w:val="apple-converted-space"/>
    <w:basedOn w:val="Policepardfaut"/>
  </w:style>
  <w:style w:type="character" w:styleId="Lienhypertexte">
    <w:name w:val="Hyperlink"/>
    <w:basedOn w:val="Policepardfaut"/>
    <w:uiPriority w:val="99"/>
    <w:unhideWhenUsed/>
    <w:rPr>
      <w:color w:val="0000FF"/>
      <w:u w:val="single"/>
    </w:rPr>
  </w:style>
  <w:style w:type="character" w:customStyle="1" w:styleId="Titre1Car">
    <w:name w:val="Titre 1 Car"/>
    <w:aliases w:val="Titre du Communiqué Car,Gros Titres Parties AO Car,§1. Car,Título Car,1 Car,Títul Car,Chapitre Car1,Chapitre Car Car,para Car,ARIAL R 18 Car,titre 2 Car,AQ-TITRE1 Car,Chapter Car,Titre principal1 Car,Titre principal2 Car,heading 1 Car,I. Car"/>
    <w:basedOn w:val="Policepardfaut"/>
    <w:link w:val="Titre1"/>
    <w:uiPriority w:val="99"/>
    <w:rsid w:val="00A924F9"/>
    <w:rPr>
      <w:rFonts w:ascii="Futura-Medium" w:eastAsiaTheme="majorEastAsia" w:hAnsi="Futura-Medium" w:cstheme="majorBidi"/>
      <w:b/>
      <w:bCs/>
      <w:color w:val="A83B22"/>
      <w:sz w:val="28"/>
      <w:szCs w:val="28"/>
    </w:rPr>
  </w:style>
  <w:style w:type="character" w:customStyle="1" w:styleId="Titre2Car">
    <w:name w:val="Titre 2 Car"/>
    <w:aliases w:val="Titre AO Car,0505 Titre Car,Edf Titre 2 Car,§1.1 Car,§1.1. Car,sous-chapitre Car1,sous-chapitre Car Car,TItre 2 perso Car,Titre 2 Car Car Car Car Car Car Car Car Car Car,Top 2 Car,Para2... Car,AQ-TITRE2 Car,Titre2 Car,L2 Car,level 2 Car"/>
    <w:basedOn w:val="Policepardfaut"/>
    <w:link w:val="Titre2"/>
    <w:uiPriority w:val="99"/>
    <w:rsid w:val="00A332B6"/>
    <w:rPr>
      <w:rFonts w:asciiTheme="majorHAnsi" w:eastAsiaTheme="majorEastAsia" w:hAnsiTheme="majorHAnsi" w:cstheme="majorBidi"/>
      <w:bCs/>
      <w:color w:val="A83B22"/>
      <w:sz w:val="26"/>
      <w:szCs w:val="26"/>
    </w:rPr>
  </w:style>
  <w:style w:type="character" w:customStyle="1" w:styleId="Titre3Car">
    <w:name w:val="Titre 3 Car"/>
    <w:aliases w:val="Petits titres  AO Car,Titre 3rapport Car,§1.1.1 Car,§1.1.1. Car,Section Car1,Section Car Car,Titre 3 Car Car Car Car Car,AQ-TITRE3 Car,Titre3 Car,Titre 3 Car Car Car,Section SubHeading Car,level 3 Car,3 Car,Titre de paragraphe Car,h3 Car"/>
    <w:basedOn w:val="Policepardfaut"/>
    <w:link w:val="Titre3"/>
    <w:uiPriority w:val="9"/>
    <w:rsid w:val="00290079"/>
    <w:rPr>
      <w:rFonts w:asciiTheme="majorHAnsi" w:eastAsiaTheme="majorEastAsia" w:hAnsiTheme="majorHAnsi" w:cs="Futura Medium"/>
      <w:bCs/>
      <w:color w:val="A83B22"/>
      <w:sz w:val="24"/>
    </w:rPr>
  </w:style>
  <w:style w:type="character" w:customStyle="1" w:styleId="Titre4Car">
    <w:name w:val="Titre 4 Car"/>
    <w:aliases w:val="Titre 4 rapport Car,§1.1.1.1 Car,§1.1.1.1. Car,Sous-Section Car,(NOT SRK4) Car,(NOT SRK4)1 Car,(NOT SRK4)2 Car,(NOT SRK4)3 Car,(NOT SRK4)4 Car,(NOT SRK4)5 Car,(NOT SRK4)6 Car,(NOT SRK4)7 Car,(NOT SRK4)8 Car,(NOT SRK4)9 Car,(NOT SRK4)10 Car"/>
    <w:basedOn w:val="Policepardfaut"/>
    <w:link w:val="Titre4"/>
    <w:uiPriority w:val="9"/>
    <w:rsid w:val="00A332B6"/>
    <w:rPr>
      <w:rFonts w:asciiTheme="majorHAnsi" w:eastAsiaTheme="majorEastAsia" w:hAnsiTheme="majorHAnsi" w:cstheme="majorBidi"/>
      <w:bCs/>
      <w:i/>
      <w:iCs/>
      <w:color w:val="A83B22"/>
    </w:rPr>
  </w:style>
  <w:style w:type="character" w:customStyle="1" w:styleId="Titre5Car">
    <w:name w:val="Titre 5 Car"/>
    <w:aliases w:val="Fig Car,Heading 5.§1.1.1.1.1. Car,S/S/S/S/ Chapitre Car"/>
    <w:basedOn w:val="Policepardfaut"/>
    <w:link w:val="Titre5"/>
    <w:uiPriority w:val="9"/>
    <w:rsid w:val="00A332B6"/>
    <w:rPr>
      <w:rFonts w:asciiTheme="majorHAnsi" w:eastAsiaTheme="majorEastAsia" w:hAnsiTheme="majorHAnsi" w:cstheme="majorBidi"/>
      <w:color w:val="A83B22"/>
      <w:sz w:val="21"/>
      <w:u w:val="single"/>
    </w:rPr>
  </w:style>
  <w:style w:type="character" w:customStyle="1" w:styleId="Titre6Car">
    <w:name w:val="Titre 6 Car"/>
    <w:aliases w:val="S/S/S/S/S Chapitre Car,H6 Car,Ref Heading 3 Car,rh3 Car,Ref Heading 31 Car,rh31 Car,H61 Car,h6 Car,Third Subheading Car,Annexe 1 Car,Annexe 11 Car,Annexe 12 Car,Annexe 13 Car,Annexe 14 Car,Annexe 15 Car,Annexe 16 Car,Annexe 17 Car"/>
    <w:basedOn w:val="Policepardfaut"/>
    <w:link w:val="Titre6"/>
    <w:rsid w:val="00A332B6"/>
    <w:rPr>
      <w:rFonts w:asciiTheme="majorHAnsi" w:eastAsiaTheme="majorEastAsia" w:hAnsiTheme="majorHAnsi" w:cstheme="majorBidi"/>
      <w:i/>
      <w:iCs/>
      <w:color w:val="A83B22"/>
      <w:sz w:val="20"/>
      <w:u w:val="single"/>
    </w:rPr>
  </w:style>
  <w:style w:type="character" w:customStyle="1" w:styleId="Titre7Car">
    <w:name w:val="Titre 7 Car"/>
    <w:aliases w:val="H7 Car,Annexe 2 Car,Annexe 21 Car,Annexe 22 Car,Annexe 23 Car,Annexe 24 Car,Annexe 25 Car,Annexe 26 Car,Annexe 27 Car,ASAPHeading 7 Car"/>
    <w:basedOn w:val="Policepardfaut"/>
    <w:link w:val="Titre7"/>
    <w:rPr>
      <w:rFonts w:asciiTheme="majorHAnsi" w:eastAsiaTheme="majorEastAsia" w:hAnsiTheme="majorHAnsi" w:cstheme="majorBidi"/>
      <w:i/>
      <w:iCs/>
      <w:color w:val="404040" w:themeColor="text1" w:themeTint="BF"/>
    </w:rPr>
  </w:style>
  <w:style w:type="character" w:customStyle="1" w:styleId="Titre8Car">
    <w:name w:val="Titre 8 Car"/>
    <w:aliases w:val="Synthèse Car,Titre 8 Car Car Car Car,Annexe 3 Car,Annexe 31 Car,Annexe 32 Car,Annexe 33 Car,Annexe 34 Car,Annexe 35 Car,Annexe 36 Car,Annexe 37 Car"/>
    <w:basedOn w:val="Policepardfaut"/>
    <w:link w:val="Titre8"/>
    <w:rPr>
      <w:rFonts w:asciiTheme="majorHAnsi" w:eastAsiaTheme="majorEastAsia" w:hAnsiTheme="majorHAnsi" w:cstheme="majorBidi"/>
      <w:color w:val="C7471D" w:themeColor="accent1"/>
      <w:sz w:val="20"/>
      <w:szCs w:val="20"/>
    </w:rPr>
  </w:style>
  <w:style w:type="character" w:customStyle="1" w:styleId="Titre9Car">
    <w:name w:val="Titre 9 Car"/>
    <w:aliases w:val="Titre 10 Car"/>
    <w:basedOn w:val="Policepardfaut"/>
    <w:link w:val="Titre9"/>
    <w:rPr>
      <w:rFonts w:asciiTheme="majorHAnsi" w:eastAsiaTheme="majorEastAsia" w:hAnsiTheme="majorHAnsi" w:cstheme="majorBidi"/>
      <w:i/>
      <w:iCs/>
      <w:color w:val="404040" w:themeColor="text1" w:themeTint="BF"/>
      <w:sz w:val="20"/>
      <w:szCs w:val="20"/>
    </w:rPr>
  </w:style>
  <w:style w:type="character" w:styleId="lev">
    <w:name w:val="Strong"/>
    <w:basedOn w:val="Policepardfaut"/>
    <w:uiPriority w:val="22"/>
    <w:qFormat/>
    <w:rPr>
      <w:b/>
      <w:bCs/>
    </w:rPr>
  </w:style>
  <w:style w:type="character" w:styleId="Accentuation">
    <w:name w:val="Emphasis"/>
    <w:basedOn w:val="Policepardfaut"/>
    <w:uiPriority w:val="20"/>
    <w:qFormat/>
    <w:rPr>
      <w:i/>
      <w:iCs/>
    </w:rPr>
  </w:style>
  <w:style w:type="paragraph" w:styleId="Sansinterligne">
    <w:name w:val="No Spacing"/>
    <w:uiPriority w:val="1"/>
    <w:qFormat/>
    <w:pPr>
      <w:spacing w:after="0" w:line="240" w:lineRule="auto"/>
    </w:pPr>
  </w:style>
  <w:style w:type="paragraph" w:styleId="Citation">
    <w:name w:val="Quote"/>
    <w:basedOn w:val="Normal"/>
    <w:next w:val="Normal"/>
    <w:link w:val="CitationCar"/>
    <w:uiPriority w:val="29"/>
    <w:qFormat/>
    <w:rPr>
      <w:i/>
      <w:iCs/>
      <w:color w:val="000000" w:themeColor="text1"/>
    </w:rPr>
  </w:style>
  <w:style w:type="character" w:customStyle="1" w:styleId="CitationCar">
    <w:name w:val="Citation Car"/>
    <w:basedOn w:val="Policepardfaut"/>
    <w:link w:val="Citation"/>
    <w:uiPriority w:val="29"/>
    <w:rPr>
      <w:i/>
      <w:iCs/>
      <w:color w:val="000000" w:themeColor="text1"/>
    </w:rPr>
  </w:style>
  <w:style w:type="paragraph" w:styleId="Citationintense">
    <w:name w:val="Intense Quote"/>
    <w:basedOn w:val="Normal"/>
    <w:next w:val="Normal"/>
    <w:link w:val="CitationintenseCar"/>
    <w:uiPriority w:val="30"/>
    <w:qFormat/>
    <w:rsid w:val="00906209"/>
    <w:pPr>
      <w:pBdr>
        <w:bottom w:val="single" w:sz="4" w:space="4" w:color="A83B22"/>
      </w:pBdr>
      <w:spacing w:before="200" w:after="280"/>
      <w:ind w:left="936" w:right="936"/>
    </w:pPr>
    <w:rPr>
      <w:rFonts w:ascii="Futura Medium" w:hAnsi="Futura Medium"/>
      <w:b/>
      <w:bCs/>
      <w:i/>
      <w:iCs/>
      <w:color w:val="A83B22"/>
    </w:rPr>
  </w:style>
  <w:style w:type="character" w:customStyle="1" w:styleId="CitationintenseCar">
    <w:name w:val="Citation intense Car"/>
    <w:basedOn w:val="Policepardfaut"/>
    <w:link w:val="Citationintense"/>
    <w:uiPriority w:val="30"/>
    <w:rsid w:val="00906209"/>
    <w:rPr>
      <w:rFonts w:ascii="Futura Medium" w:hAnsi="Futura Medium"/>
      <w:b/>
      <w:bCs/>
      <w:i/>
      <w:iCs/>
      <w:noProof/>
      <w:color w:val="A83B22"/>
    </w:rPr>
  </w:style>
  <w:style w:type="character" w:styleId="Accentuationlgre">
    <w:name w:val="Subtle Emphasis"/>
    <w:basedOn w:val="Policepardfaut"/>
    <w:uiPriority w:val="19"/>
    <w:qFormat/>
    <w:rPr>
      <w:i/>
      <w:iCs/>
      <w:color w:val="808080" w:themeColor="text1" w:themeTint="7F"/>
    </w:rPr>
  </w:style>
  <w:style w:type="character" w:styleId="Accentuationintense">
    <w:name w:val="Intense Emphasis"/>
    <w:basedOn w:val="Policepardfaut"/>
    <w:uiPriority w:val="21"/>
    <w:qFormat/>
    <w:rsid w:val="00906209"/>
    <w:rPr>
      <w:rFonts w:asciiTheme="minorHAnsi" w:hAnsiTheme="minorHAnsi"/>
      <w:b/>
      <w:bCs/>
      <w:i/>
      <w:iCs/>
      <w:color w:val="A83B22"/>
      <w:sz w:val="22"/>
    </w:rPr>
  </w:style>
  <w:style w:type="character" w:styleId="Rfrencelgre">
    <w:name w:val="Subtle Reference"/>
    <w:basedOn w:val="Policepardfaut"/>
    <w:uiPriority w:val="31"/>
    <w:qFormat/>
    <w:rPr>
      <w:smallCaps/>
      <w:color w:val="EC694A" w:themeColor="accent2"/>
      <w:u w:val="single"/>
    </w:rPr>
  </w:style>
  <w:style w:type="character" w:styleId="Rfrenceintense">
    <w:name w:val="Intense Reference"/>
    <w:basedOn w:val="Policepardfaut"/>
    <w:uiPriority w:val="32"/>
    <w:qFormat/>
    <w:rPr>
      <w:b/>
      <w:bCs/>
      <w:smallCaps/>
      <w:color w:val="EC694A" w:themeColor="accent2"/>
      <w:spacing w:val="5"/>
      <w:u w:val="single"/>
    </w:rPr>
  </w:style>
  <w:style w:type="paragraph" w:styleId="En-ttedetabledesmatires">
    <w:name w:val="TOC Heading"/>
    <w:basedOn w:val="Titre1"/>
    <w:next w:val="Normal"/>
    <w:uiPriority w:val="39"/>
    <w:unhideWhenUsed/>
    <w:qFormat/>
    <w:pPr>
      <w:outlineLvl w:val="9"/>
    </w:pPr>
  </w:style>
  <w:style w:type="table" w:styleId="Grilledutableau">
    <w:name w:val="Table Grid"/>
    <w:aliases w:val="Grille du tableau - valeur,CV1,ademe Grille du tableau"/>
    <w:basedOn w:val="TableauNormal"/>
    <w:uiPriority w:val="3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1">
    <w:name w:val="Style1"/>
    <w:basedOn w:val="Titre1"/>
    <w:qFormat/>
    <w:rsid w:val="005B50AC"/>
  </w:style>
  <w:style w:type="paragraph" w:customStyle="1" w:styleId="Default">
    <w:name w:val="Default"/>
    <w:pPr>
      <w:autoSpaceDE w:val="0"/>
      <w:autoSpaceDN w:val="0"/>
      <w:adjustRightInd w:val="0"/>
      <w:spacing w:after="0" w:line="240" w:lineRule="auto"/>
    </w:pPr>
    <w:rPr>
      <w:rFonts w:ascii="Calibri" w:hAnsi="Calibri" w:cs="Calibri"/>
      <w:color w:val="000000"/>
      <w:sz w:val="24"/>
      <w:szCs w:val="24"/>
    </w:rPr>
  </w:style>
  <w:style w:type="table" w:customStyle="1" w:styleId="AKAtab1">
    <w:name w:val="AKAtab1"/>
    <w:basedOn w:val="TableauNormal"/>
    <w:rsid w:val="00625BD9"/>
    <w:pPr>
      <w:spacing w:after="0" w:line="240" w:lineRule="auto"/>
      <w:jc w:val="center"/>
    </w:pPr>
    <w:tblPr>
      <w:tblStyleRowBandSize w:val="1"/>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rPr>
      <w:jc w:val="center"/>
    </w:trPr>
    <w:tcPr>
      <w:shd w:val="clear" w:color="auto" w:fill="FFFFFF" w:themeFill="background1"/>
      <w:vAlign w:val="center"/>
    </w:tcPr>
    <w:tblStylePr w:type="firstRow">
      <w:pPr>
        <w:jc w:val="center"/>
      </w:pPr>
      <w:rPr>
        <w:rFonts w:asciiTheme="minorHAnsi" w:hAnsiTheme="minorHAnsi"/>
        <w:b/>
        <w:color w:val="3B3838" w:themeColor="background2" w:themeShade="40"/>
        <w:sz w:val="22"/>
      </w:rPr>
      <w:tblPr/>
      <w:tcPr>
        <w:shd w:val="clear" w:color="auto" w:fill="E98A6B" w:themeFill="accent1" w:themeFillTint="99"/>
      </w:tcPr>
    </w:tblStylePr>
    <w:tblStylePr w:type="firstCol">
      <w:pPr>
        <w:jc w:val="center"/>
      </w:pPr>
      <w:rPr>
        <w:rFonts w:asciiTheme="minorHAnsi" w:hAnsiTheme="minorHAnsi"/>
        <w:color w:val="auto"/>
        <w:sz w:val="22"/>
      </w:rPr>
      <w:tblPr/>
      <w:tcPr>
        <w:shd w:val="clear" w:color="auto" w:fill="FBE0DA" w:themeFill="accent2" w:themeFillTint="33"/>
      </w:tcPr>
    </w:tblStylePr>
    <w:tblStylePr w:type="band1Horz">
      <w:pPr>
        <w:jc w:val="center"/>
      </w:pPr>
      <w:rPr>
        <w:rFonts w:asciiTheme="minorHAnsi" w:hAnsiTheme="minorHAnsi"/>
        <w:sz w:val="22"/>
      </w:rPr>
    </w:tblStylePr>
    <w:tblStylePr w:type="band2Horz">
      <w:pPr>
        <w:jc w:val="center"/>
      </w:pPr>
      <w:rPr>
        <w:rFonts w:asciiTheme="minorHAnsi" w:hAnsiTheme="minorHAnsi"/>
        <w:sz w:val="22"/>
      </w:rPr>
    </w:tblStylePr>
  </w:style>
  <w:style w:type="paragraph" w:styleId="Corpsdetexte">
    <w:name w:val="Body Text"/>
    <w:basedOn w:val="Normal"/>
    <w:link w:val="CorpsdetexteCar"/>
    <w:uiPriority w:val="1"/>
    <w:qFormat/>
    <w:rsid w:val="00994238"/>
    <w:pPr>
      <w:widowControl w:val="0"/>
      <w:autoSpaceDE w:val="0"/>
      <w:autoSpaceDN w:val="0"/>
      <w:spacing w:after="0"/>
      <w:jc w:val="left"/>
    </w:pPr>
    <w:rPr>
      <w:rFonts w:ascii="Verdana" w:eastAsia="Verdana" w:hAnsi="Verdana" w:cs="Verdana"/>
      <w:sz w:val="18"/>
      <w:szCs w:val="18"/>
      <w:lang w:eastAsia="en-US"/>
    </w:rPr>
  </w:style>
  <w:style w:type="character" w:customStyle="1" w:styleId="CorpsdetexteCar">
    <w:name w:val="Corps de texte Car"/>
    <w:basedOn w:val="Policepardfaut"/>
    <w:link w:val="Corpsdetexte"/>
    <w:uiPriority w:val="1"/>
    <w:rsid w:val="00994238"/>
    <w:rPr>
      <w:rFonts w:ascii="Verdana" w:eastAsia="Verdana" w:hAnsi="Verdana" w:cs="Verdana"/>
      <w:sz w:val="18"/>
      <w:szCs w:val="18"/>
      <w:lang w:eastAsia="en-US"/>
    </w:rPr>
  </w:style>
  <w:style w:type="table" w:customStyle="1" w:styleId="TableNormal">
    <w:name w:val="Table Normal"/>
    <w:uiPriority w:val="2"/>
    <w:semiHidden/>
    <w:unhideWhenUsed/>
    <w:qFormat/>
    <w:rsid w:val="00367937"/>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67937"/>
    <w:pPr>
      <w:widowControl w:val="0"/>
      <w:autoSpaceDE w:val="0"/>
      <w:autoSpaceDN w:val="0"/>
      <w:spacing w:after="0"/>
      <w:jc w:val="left"/>
    </w:pPr>
    <w:rPr>
      <w:rFonts w:ascii="Arial MT" w:eastAsia="Arial MT" w:hAnsi="Arial MT" w:cs="Arial MT"/>
      <w:lang w:eastAsia="en-US"/>
    </w:rPr>
  </w:style>
  <w:style w:type="character" w:customStyle="1" w:styleId="Mentionnonrsolue1">
    <w:name w:val="Mention non résolue1"/>
    <w:basedOn w:val="Policepardfaut"/>
    <w:rsid w:val="008A2343"/>
    <w:rPr>
      <w:color w:val="605E5C"/>
      <w:shd w:val="clear" w:color="auto" w:fill="E1DFDD"/>
    </w:rPr>
  </w:style>
  <w:style w:type="table" w:customStyle="1" w:styleId="AKAtabtotal">
    <w:name w:val="AKAtabtotal"/>
    <w:basedOn w:val="TableauNormal"/>
    <w:uiPriority w:val="99"/>
    <w:rsid w:val="00625BD9"/>
    <w:pPr>
      <w:spacing w:after="0" w:line="240" w:lineRule="auto"/>
      <w:jc w:val="center"/>
    </w:pPr>
    <w:tblPr>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rPr>
      <w:jc w:val="center"/>
    </w:trPr>
    <w:tcPr>
      <w:shd w:val="clear" w:color="auto" w:fill="FFFFFF" w:themeFill="background1"/>
      <w:vAlign w:val="center"/>
    </w:tcPr>
    <w:tblStylePr w:type="firstRow">
      <w:pPr>
        <w:jc w:val="center"/>
      </w:pPr>
      <w:rPr>
        <w:rFonts w:asciiTheme="minorHAnsi" w:hAnsiTheme="minorHAnsi"/>
        <w:b/>
        <w:sz w:val="22"/>
      </w:rPr>
      <w:tblPr/>
      <w:tcPr>
        <w:shd w:val="clear" w:color="auto" w:fill="E98A6B" w:themeFill="accent1" w:themeFillTint="99"/>
      </w:tcPr>
    </w:tblStylePr>
    <w:tblStylePr w:type="lastRow">
      <w:pPr>
        <w:jc w:val="center"/>
      </w:pPr>
      <w:rPr>
        <w:rFonts w:asciiTheme="minorHAnsi" w:hAnsiTheme="minorHAnsi"/>
        <w:b/>
        <w:color w:val="3B3838" w:themeColor="background2" w:themeShade="40"/>
        <w:sz w:val="22"/>
      </w:rPr>
      <w:tblPr/>
      <w:tcPr>
        <w:shd w:val="clear" w:color="auto" w:fill="E98A6B" w:themeFill="accent1" w:themeFillTint="99"/>
      </w:tcPr>
    </w:tblStylePr>
    <w:tblStylePr w:type="firstCol">
      <w:pPr>
        <w:jc w:val="center"/>
      </w:pPr>
      <w:rPr>
        <w:rFonts w:asciiTheme="minorHAnsi" w:hAnsiTheme="minorHAnsi"/>
        <w:sz w:val="22"/>
      </w:rPr>
      <w:tblPr/>
      <w:tcPr>
        <w:shd w:val="clear" w:color="auto" w:fill="FBE0DA" w:themeFill="accent2" w:themeFillTint="33"/>
      </w:tcPr>
    </w:tblStylePr>
  </w:style>
  <w:style w:type="character" w:customStyle="1" w:styleId="PieddepageCar">
    <w:name w:val="Pied de page Car"/>
    <w:basedOn w:val="Policepardfaut"/>
    <w:link w:val="Pieddepage"/>
    <w:uiPriority w:val="99"/>
    <w:rsid w:val="00E442DC"/>
    <w:rPr>
      <w:noProof/>
      <w:sz w:val="13"/>
      <w:szCs w:val="13"/>
    </w:rPr>
  </w:style>
  <w:style w:type="paragraph" w:styleId="NormalWeb">
    <w:name w:val="Normal (Web)"/>
    <w:basedOn w:val="Normal"/>
    <w:uiPriority w:val="99"/>
    <w:semiHidden/>
    <w:unhideWhenUsed/>
    <w:rsid w:val="00F72AB3"/>
    <w:pPr>
      <w:spacing w:before="100" w:beforeAutospacing="1" w:after="100" w:afterAutospacing="1"/>
      <w:jc w:val="left"/>
    </w:pPr>
    <w:rPr>
      <w:rFonts w:ascii="Times New Roman" w:hAnsi="Times New Roman" w:cs="Times New Roman"/>
      <w:sz w:val="24"/>
      <w:szCs w:val="24"/>
    </w:rPr>
  </w:style>
  <w:style w:type="character" w:customStyle="1" w:styleId="ParagraphedelisteCar">
    <w:name w:val="Paragraphe de liste Car"/>
    <w:aliases w:val="Normal bullet 2 Car,Grille claire - Accent 31 Car,Lettre d'introduction Car,Paragraphe de liste num Car,Paragraphe de liste 1 Car,Listes Car,Sémaphores Puces Car,DIP Car,List Paragraph1 Car,List Paragraph Car,Paragraphe 2 Car"/>
    <w:link w:val="Paragraphedeliste"/>
    <w:uiPriority w:val="34"/>
    <w:qFormat/>
    <w:locked/>
    <w:rsid w:val="009F1A6D"/>
    <w:rPr>
      <w:noProof/>
    </w:rPr>
  </w:style>
  <w:style w:type="table" w:styleId="TableauGrille5Fonc-Accentuation1">
    <w:name w:val="Grid Table 5 Dark Accent 1"/>
    <w:basedOn w:val="TableauNormal"/>
    <w:uiPriority w:val="50"/>
    <w:rsid w:val="002374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7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7471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7471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7471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7471D" w:themeFill="accent1"/>
      </w:tcPr>
    </w:tblStylePr>
    <w:tblStylePr w:type="band1Vert">
      <w:tblPr/>
      <w:tcPr>
        <w:shd w:val="clear" w:color="auto" w:fill="F0B19C" w:themeFill="accent1" w:themeFillTint="66"/>
      </w:tcPr>
    </w:tblStylePr>
    <w:tblStylePr w:type="band1Horz">
      <w:tblPr/>
      <w:tcPr>
        <w:shd w:val="clear" w:color="auto" w:fill="F0B19C" w:themeFill="accent1" w:themeFillTint="66"/>
      </w:tcPr>
    </w:tblStylePr>
  </w:style>
  <w:style w:type="table" w:styleId="TableauGrille5Fonc-Accentuation2">
    <w:name w:val="Grid Table 5 Dark Accent 2"/>
    <w:basedOn w:val="TableauNormal"/>
    <w:uiPriority w:val="50"/>
    <w:rsid w:val="002374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694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694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694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694A" w:themeFill="accent2"/>
      </w:tcPr>
    </w:tblStylePr>
    <w:tblStylePr w:type="band1Vert">
      <w:tblPr/>
      <w:tcPr>
        <w:shd w:val="clear" w:color="auto" w:fill="F7C2B6" w:themeFill="accent2" w:themeFillTint="66"/>
      </w:tcPr>
    </w:tblStylePr>
    <w:tblStylePr w:type="band1Horz">
      <w:tblPr/>
      <w:tcPr>
        <w:shd w:val="clear" w:color="auto" w:fill="F7C2B6" w:themeFill="accent2" w:themeFillTint="66"/>
      </w:tcPr>
    </w:tblStylePr>
  </w:style>
  <w:style w:type="character" w:customStyle="1" w:styleId="NotedebasdepageCar">
    <w:name w:val="Note de bas de page Car"/>
    <w:aliases w:val="Fußnotentext Char Car,Fußnotentext Char1 Char1 Car,Fußnotentext Char Char Char Char Car,Fußnotentext Char1 Char Char Char Car,Fußnotentext Char Char Car,Fußnotentext Char1 Char Char Char Char Car,Fußnotentext Char1 Car"/>
    <w:basedOn w:val="Policepardfaut"/>
    <w:link w:val="Notedebasdepage"/>
    <w:uiPriority w:val="99"/>
    <w:qFormat/>
    <w:rsid w:val="00E3442F"/>
  </w:style>
  <w:style w:type="paragraph" w:customStyle="1" w:styleId="Textedesaisie">
    <w:name w:val="Texte de saisie"/>
    <w:basedOn w:val="Normal"/>
    <w:qFormat/>
    <w:rsid w:val="00521132"/>
    <w:pPr>
      <w:spacing w:before="120" w:after="0" w:line="264" w:lineRule="atLeast"/>
    </w:pPr>
    <w:rPr>
      <w:rFonts w:eastAsiaTheme="minorHAnsi"/>
      <w:sz w:val="21"/>
      <w:szCs w:val="21"/>
      <w:lang w:eastAsia="en-US"/>
    </w:rPr>
  </w:style>
  <w:style w:type="table" w:styleId="TableauGrille2-Accentuation1">
    <w:name w:val="Grid Table 2 Accent 1"/>
    <w:basedOn w:val="TableauNormal"/>
    <w:uiPriority w:val="47"/>
    <w:rsid w:val="00521132"/>
    <w:pPr>
      <w:spacing w:after="0" w:line="240" w:lineRule="auto"/>
    </w:pPr>
    <w:rPr>
      <w:rFonts w:eastAsiaTheme="minorHAnsi"/>
      <w:lang w:eastAsia="en-US"/>
    </w:rPr>
    <w:tblPr>
      <w:tblStyleRowBandSize w:val="1"/>
      <w:tblStyleColBandSize w:val="1"/>
      <w:tblBorders>
        <w:top w:val="single" w:sz="2" w:space="0" w:color="E98A6B" w:themeColor="accent1" w:themeTint="99"/>
        <w:bottom w:val="single" w:sz="2" w:space="0" w:color="E98A6B" w:themeColor="accent1" w:themeTint="99"/>
        <w:insideH w:val="single" w:sz="2" w:space="0" w:color="E98A6B" w:themeColor="accent1" w:themeTint="99"/>
        <w:insideV w:val="single" w:sz="2" w:space="0" w:color="E98A6B" w:themeColor="accent1" w:themeTint="99"/>
      </w:tblBorders>
    </w:tblPr>
    <w:tblStylePr w:type="firstRow">
      <w:rPr>
        <w:b/>
        <w:bCs/>
      </w:rPr>
      <w:tblPr/>
      <w:tcPr>
        <w:tcBorders>
          <w:top w:val="nil"/>
          <w:bottom w:val="single" w:sz="12" w:space="0" w:color="E98A6B" w:themeColor="accent1" w:themeTint="99"/>
          <w:insideH w:val="nil"/>
          <w:insideV w:val="nil"/>
        </w:tcBorders>
        <w:shd w:val="clear" w:color="auto" w:fill="FFFFFF" w:themeFill="background1"/>
      </w:tcPr>
    </w:tblStylePr>
    <w:tblStylePr w:type="lastRow">
      <w:rPr>
        <w:b/>
        <w:bCs/>
      </w:rPr>
      <w:tblPr/>
      <w:tcPr>
        <w:tcBorders>
          <w:top w:val="double" w:sz="2" w:space="0" w:color="E98A6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7CD" w:themeFill="accent1" w:themeFillTint="33"/>
      </w:tcPr>
    </w:tblStylePr>
    <w:tblStylePr w:type="band1Horz">
      <w:tblPr/>
      <w:tcPr>
        <w:shd w:val="clear" w:color="auto" w:fill="F7D7CD" w:themeFill="accent1" w:themeFillTint="33"/>
      </w:tcPr>
    </w:tblStylePr>
  </w:style>
  <w:style w:type="character" w:customStyle="1" w:styleId="CommentaireCar">
    <w:name w:val="Commentaire Car"/>
    <w:basedOn w:val="Policepardfaut"/>
    <w:link w:val="Commentaire"/>
    <w:uiPriority w:val="99"/>
    <w:rsid w:val="002758CC"/>
  </w:style>
  <w:style w:type="character" w:customStyle="1" w:styleId="LgendeCar">
    <w:name w:val="Légende Car"/>
    <w:aliases w:val="annexes Car,annexes m Car,Légende Car1 Car,annexes m Car Car Car,Annexes Car,Annexes générales Car,Annexe Car,Legende Car, Car16 Car, Car Car Car Car Car1, Car Car Car Car Car Car Car Car, Car Car Car Car Car Car,Car16 Car, Car3 Car,Car3 Car"/>
    <w:link w:val="Lgende"/>
    <w:uiPriority w:val="35"/>
    <w:locked/>
    <w:rsid w:val="002758CC"/>
    <w:rPr>
      <w:b/>
      <w:bCs/>
      <w:color w:val="A83B22"/>
      <w:sz w:val="18"/>
      <w:szCs w:val="18"/>
    </w:rPr>
  </w:style>
  <w:style w:type="paragraph" w:customStyle="1" w:styleId="Deuximetitre">
    <w:name w:val="Deuxième titre"/>
    <w:next w:val="Normal"/>
    <w:autoRedefine/>
    <w:qFormat/>
    <w:rsid w:val="002758CC"/>
    <w:pPr>
      <w:numPr>
        <w:ilvl w:val="1"/>
        <w:numId w:val="4"/>
      </w:numPr>
      <w:spacing w:before="240" w:after="240" w:line="240" w:lineRule="auto"/>
      <w:outlineLvl w:val="1"/>
    </w:pPr>
    <w:rPr>
      <w:rFonts w:ascii="Century Gothic" w:eastAsia="Calibri" w:hAnsi="Century Gothic" w:cs="Times New Roman"/>
      <w:color w:val="96C01E" w:themeColor="accent3"/>
      <w:spacing w:val="20"/>
      <w:sz w:val="32"/>
      <w:szCs w:val="36"/>
      <w:lang w:eastAsia="en-US"/>
    </w:rPr>
  </w:style>
  <w:style w:type="paragraph" w:customStyle="1" w:styleId="Titredetroisimeniveau">
    <w:name w:val="Titre de troisième niveau"/>
    <w:basedOn w:val="Normal"/>
    <w:autoRedefine/>
    <w:qFormat/>
    <w:rsid w:val="002758CC"/>
    <w:pPr>
      <w:widowControl w:val="0"/>
      <w:numPr>
        <w:ilvl w:val="2"/>
        <w:numId w:val="4"/>
      </w:numPr>
      <w:suppressLineNumbers/>
      <w:overflowPunct w:val="0"/>
      <w:spacing w:before="360" w:after="360"/>
      <w:jc w:val="left"/>
      <w:outlineLvl w:val="2"/>
    </w:pPr>
    <w:rPr>
      <w:rFonts w:eastAsia="MS Mincho" w:cstheme="minorHAnsi"/>
      <w:b/>
      <w:bCs/>
      <w:sz w:val="24"/>
      <w:szCs w:val="24"/>
      <w:lang w:eastAsia="en-US"/>
    </w:rPr>
  </w:style>
  <w:style w:type="paragraph" w:customStyle="1" w:styleId="Ttredequatrimeniveau">
    <w:name w:val="Ttre de quatrième niveau"/>
    <w:qFormat/>
    <w:rsid w:val="002758CC"/>
    <w:pPr>
      <w:numPr>
        <w:ilvl w:val="3"/>
        <w:numId w:val="4"/>
      </w:numPr>
      <w:spacing w:before="120" w:after="120" w:line="240" w:lineRule="auto"/>
    </w:pPr>
    <w:rPr>
      <w:rFonts w:ascii="Century Gothic" w:eastAsia="Calibri" w:hAnsi="Century Gothic" w:cs="Times New Roman"/>
      <w:color w:val="2B4594" w:themeColor="accent6"/>
      <w:spacing w:val="20"/>
      <w:sz w:val="26"/>
      <w:szCs w:val="26"/>
      <w:lang w:eastAsia="en-US"/>
    </w:rPr>
  </w:style>
  <w:style w:type="paragraph" w:customStyle="1" w:styleId="Style6">
    <w:name w:val="Style6"/>
    <w:basedOn w:val="Normal"/>
    <w:link w:val="Style6Car"/>
    <w:qFormat/>
    <w:rsid w:val="000F57CC"/>
    <w:pPr>
      <w:spacing w:before="120" w:line="276" w:lineRule="auto"/>
    </w:pPr>
    <w:rPr>
      <w:rFonts w:eastAsiaTheme="minorHAnsi"/>
      <w:b/>
      <w:color w:val="5B9BC8"/>
      <w:sz w:val="26"/>
      <w:lang w:eastAsia="en-US"/>
    </w:rPr>
  </w:style>
  <w:style w:type="character" w:customStyle="1" w:styleId="Style6Car">
    <w:name w:val="Style6 Car"/>
    <w:basedOn w:val="Policepardfaut"/>
    <w:link w:val="Style6"/>
    <w:rsid w:val="000F57CC"/>
    <w:rPr>
      <w:rFonts w:eastAsiaTheme="minorHAnsi"/>
      <w:b/>
      <w:color w:val="5B9BC8"/>
      <w:sz w:val="26"/>
      <w:lang w:eastAsia="en-US"/>
    </w:rPr>
  </w:style>
  <w:style w:type="table" w:styleId="TableauGrille4-Accentuation1">
    <w:name w:val="Grid Table 4 Accent 1"/>
    <w:basedOn w:val="TableauNormal"/>
    <w:uiPriority w:val="49"/>
    <w:rsid w:val="00B7744E"/>
    <w:pPr>
      <w:spacing w:after="0" w:line="240" w:lineRule="auto"/>
    </w:pPr>
    <w:rPr>
      <w:rFonts w:eastAsiaTheme="minorHAnsi"/>
      <w:lang w:eastAsia="en-US"/>
    </w:rPr>
    <w:tblPr>
      <w:tblStyleRowBandSize w:val="1"/>
      <w:tblStyleColBandSize w:val="1"/>
      <w:tblBorders>
        <w:top w:val="single" w:sz="4" w:space="0" w:color="E98A6B" w:themeColor="accent1" w:themeTint="99"/>
        <w:left w:val="single" w:sz="4" w:space="0" w:color="E98A6B" w:themeColor="accent1" w:themeTint="99"/>
        <w:bottom w:val="single" w:sz="4" w:space="0" w:color="E98A6B" w:themeColor="accent1" w:themeTint="99"/>
        <w:right w:val="single" w:sz="4" w:space="0" w:color="E98A6B" w:themeColor="accent1" w:themeTint="99"/>
        <w:insideH w:val="single" w:sz="4" w:space="0" w:color="E98A6B" w:themeColor="accent1" w:themeTint="99"/>
        <w:insideV w:val="single" w:sz="4" w:space="0" w:color="E98A6B" w:themeColor="accent1" w:themeTint="99"/>
      </w:tblBorders>
    </w:tblPr>
    <w:tblStylePr w:type="firstRow">
      <w:rPr>
        <w:b/>
        <w:bCs/>
        <w:color w:val="FFFFFF" w:themeColor="background1"/>
      </w:rPr>
      <w:tblPr/>
      <w:tcPr>
        <w:tcBorders>
          <w:top w:val="single" w:sz="4" w:space="0" w:color="C7471D" w:themeColor="accent1"/>
          <w:left w:val="single" w:sz="4" w:space="0" w:color="C7471D" w:themeColor="accent1"/>
          <w:bottom w:val="single" w:sz="4" w:space="0" w:color="C7471D" w:themeColor="accent1"/>
          <w:right w:val="single" w:sz="4" w:space="0" w:color="C7471D" w:themeColor="accent1"/>
          <w:insideH w:val="nil"/>
          <w:insideV w:val="nil"/>
        </w:tcBorders>
        <w:shd w:val="clear" w:color="auto" w:fill="C7471D" w:themeFill="accent1"/>
      </w:tcPr>
    </w:tblStylePr>
    <w:tblStylePr w:type="lastRow">
      <w:rPr>
        <w:b/>
        <w:bCs/>
      </w:rPr>
      <w:tblPr/>
      <w:tcPr>
        <w:tcBorders>
          <w:top w:val="double" w:sz="4" w:space="0" w:color="C7471D" w:themeColor="accent1"/>
        </w:tcBorders>
      </w:tcPr>
    </w:tblStylePr>
    <w:tblStylePr w:type="firstCol">
      <w:rPr>
        <w:b/>
        <w:bCs/>
      </w:rPr>
    </w:tblStylePr>
    <w:tblStylePr w:type="lastCol">
      <w:rPr>
        <w:b/>
        <w:bCs/>
      </w:rPr>
    </w:tblStylePr>
    <w:tblStylePr w:type="band1Vert">
      <w:tblPr/>
      <w:tcPr>
        <w:shd w:val="clear" w:color="auto" w:fill="F7D7CD" w:themeFill="accent1" w:themeFillTint="33"/>
      </w:tcPr>
    </w:tblStylePr>
    <w:tblStylePr w:type="band1Horz">
      <w:tblPr/>
      <w:tcPr>
        <w:shd w:val="clear" w:color="auto" w:fill="F7D7CD" w:themeFill="accent1" w:themeFillTint="33"/>
      </w:tcPr>
    </w:tblStylePr>
  </w:style>
  <w:style w:type="character" w:styleId="Mentionnonrsolue">
    <w:name w:val="Unresolved Mention"/>
    <w:basedOn w:val="Policepardfaut"/>
    <w:rsid w:val="00450618"/>
    <w:rPr>
      <w:color w:val="605E5C"/>
      <w:shd w:val="clear" w:color="auto" w:fill="E1DFDD"/>
    </w:rPr>
  </w:style>
  <w:style w:type="character" w:customStyle="1" w:styleId="cf01">
    <w:name w:val="cf01"/>
    <w:basedOn w:val="Policepardfaut"/>
    <w:rsid w:val="00A8644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3712">
      <w:bodyDiv w:val="1"/>
      <w:marLeft w:val="0"/>
      <w:marRight w:val="0"/>
      <w:marTop w:val="0"/>
      <w:marBottom w:val="0"/>
      <w:divBdr>
        <w:top w:val="none" w:sz="0" w:space="0" w:color="auto"/>
        <w:left w:val="none" w:sz="0" w:space="0" w:color="auto"/>
        <w:bottom w:val="none" w:sz="0" w:space="0" w:color="auto"/>
        <w:right w:val="none" w:sz="0" w:space="0" w:color="auto"/>
      </w:divBdr>
      <w:divsChild>
        <w:div w:id="750352847">
          <w:marLeft w:val="446"/>
          <w:marRight w:val="0"/>
          <w:marTop w:val="150"/>
          <w:marBottom w:val="0"/>
          <w:divBdr>
            <w:top w:val="none" w:sz="0" w:space="0" w:color="auto"/>
            <w:left w:val="none" w:sz="0" w:space="0" w:color="auto"/>
            <w:bottom w:val="none" w:sz="0" w:space="0" w:color="auto"/>
            <w:right w:val="none" w:sz="0" w:space="0" w:color="auto"/>
          </w:divBdr>
        </w:div>
        <w:div w:id="1257130035">
          <w:marLeft w:val="446"/>
          <w:marRight w:val="0"/>
          <w:marTop w:val="150"/>
          <w:marBottom w:val="0"/>
          <w:divBdr>
            <w:top w:val="none" w:sz="0" w:space="0" w:color="auto"/>
            <w:left w:val="none" w:sz="0" w:space="0" w:color="auto"/>
            <w:bottom w:val="none" w:sz="0" w:space="0" w:color="auto"/>
            <w:right w:val="none" w:sz="0" w:space="0" w:color="auto"/>
          </w:divBdr>
        </w:div>
        <w:div w:id="246112935">
          <w:marLeft w:val="446"/>
          <w:marRight w:val="0"/>
          <w:marTop w:val="150"/>
          <w:marBottom w:val="0"/>
          <w:divBdr>
            <w:top w:val="none" w:sz="0" w:space="0" w:color="auto"/>
            <w:left w:val="none" w:sz="0" w:space="0" w:color="auto"/>
            <w:bottom w:val="none" w:sz="0" w:space="0" w:color="auto"/>
            <w:right w:val="none" w:sz="0" w:space="0" w:color="auto"/>
          </w:divBdr>
        </w:div>
        <w:div w:id="1473012389">
          <w:marLeft w:val="1267"/>
          <w:marRight w:val="0"/>
          <w:marTop w:val="75"/>
          <w:marBottom w:val="0"/>
          <w:divBdr>
            <w:top w:val="none" w:sz="0" w:space="0" w:color="auto"/>
            <w:left w:val="none" w:sz="0" w:space="0" w:color="auto"/>
            <w:bottom w:val="none" w:sz="0" w:space="0" w:color="auto"/>
            <w:right w:val="none" w:sz="0" w:space="0" w:color="auto"/>
          </w:divBdr>
        </w:div>
        <w:div w:id="1416974368">
          <w:marLeft w:val="1267"/>
          <w:marRight w:val="0"/>
          <w:marTop w:val="75"/>
          <w:marBottom w:val="0"/>
          <w:divBdr>
            <w:top w:val="none" w:sz="0" w:space="0" w:color="auto"/>
            <w:left w:val="none" w:sz="0" w:space="0" w:color="auto"/>
            <w:bottom w:val="none" w:sz="0" w:space="0" w:color="auto"/>
            <w:right w:val="none" w:sz="0" w:space="0" w:color="auto"/>
          </w:divBdr>
        </w:div>
        <w:div w:id="32849961">
          <w:marLeft w:val="1267"/>
          <w:marRight w:val="0"/>
          <w:marTop w:val="75"/>
          <w:marBottom w:val="0"/>
          <w:divBdr>
            <w:top w:val="none" w:sz="0" w:space="0" w:color="auto"/>
            <w:left w:val="none" w:sz="0" w:space="0" w:color="auto"/>
            <w:bottom w:val="none" w:sz="0" w:space="0" w:color="auto"/>
            <w:right w:val="none" w:sz="0" w:space="0" w:color="auto"/>
          </w:divBdr>
        </w:div>
      </w:divsChild>
    </w:div>
    <w:div w:id="26571466">
      <w:bodyDiv w:val="1"/>
      <w:marLeft w:val="0"/>
      <w:marRight w:val="0"/>
      <w:marTop w:val="0"/>
      <w:marBottom w:val="0"/>
      <w:divBdr>
        <w:top w:val="none" w:sz="0" w:space="0" w:color="auto"/>
        <w:left w:val="none" w:sz="0" w:space="0" w:color="auto"/>
        <w:bottom w:val="none" w:sz="0" w:space="0" w:color="auto"/>
        <w:right w:val="none" w:sz="0" w:space="0" w:color="auto"/>
      </w:divBdr>
    </w:div>
    <w:div w:id="209652250">
      <w:bodyDiv w:val="1"/>
      <w:marLeft w:val="0"/>
      <w:marRight w:val="0"/>
      <w:marTop w:val="0"/>
      <w:marBottom w:val="0"/>
      <w:divBdr>
        <w:top w:val="none" w:sz="0" w:space="0" w:color="auto"/>
        <w:left w:val="none" w:sz="0" w:space="0" w:color="auto"/>
        <w:bottom w:val="none" w:sz="0" w:space="0" w:color="auto"/>
        <w:right w:val="none" w:sz="0" w:space="0" w:color="auto"/>
      </w:divBdr>
      <w:divsChild>
        <w:div w:id="1306350236">
          <w:marLeft w:val="446"/>
          <w:marRight w:val="0"/>
          <w:marTop w:val="150"/>
          <w:marBottom w:val="0"/>
          <w:divBdr>
            <w:top w:val="none" w:sz="0" w:space="0" w:color="auto"/>
            <w:left w:val="none" w:sz="0" w:space="0" w:color="auto"/>
            <w:bottom w:val="none" w:sz="0" w:space="0" w:color="auto"/>
            <w:right w:val="none" w:sz="0" w:space="0" w:color="auto"/>
          </w:divBdr>
        </w:div>
        <w:div w:id="1599289959">
          <w:marLeft w:val="446"/>
          <w:marRight w:val="0"/>
          <w:marTop w:val="150"/>
          <w:marBottom w:val="0"/>
          <w:divBdr>
            <w:top w:val="none" w:sz="0" w:space="0" w:color="auto"/>
            <w:left w:val="none" w:sz="0" w:space="0" w:color="auto"/>
            <w:bottom w:val="none" w:sz="0" w:space="0" w:color="auto"/>
            <w:right w:val="none" w:sz="0" w:space="0" w:color="auto"/>
          </w:divBdr>
        </w:div>
        <w:div w:id="1741319051">
          <w:marLeft w:val="446"/>
          <w:marRight w:val="0"/>
          <w:marTop w:val="150"/>
          <w:marBottom w:val="0"/>
          <w:divBdr>
            <w:top w:val="none" w:sz="0" w:space="0" w:color="auto"/>
            <w:left w:val="none" w:sz="0" w:space="0" w:color="auto"/>
            <w:bottom w:val="none" w:sz="0" w:space="0" w:color="auto"/>
            <w:right w:val="none" w:sz="0" w:space="0" w:color="auto"/>
          </w:divBdr>
        </w:div>
        <w:div w:id="104036911">
          <w:marLeft w:val="446"/>
          <w:marRight w:val="0"/>
          <w:marTop w:val="0"/>
          <w:marBottom w:val="0"/>
          <w:divBdr>
            <w:top w:val="none" w:sz="0" w:space="0" w:color="auto"/>
            <w:left w:val="none" w:sz="0" w:space="0" w:color="auto"/>
            <w:bottom w:val="none" w:sz="0" w:space="0" w:color="auto"/>
            <w:right w:val="none" w:sz="0" w:space="0" w:color="auto"/>
          </w:divBdr>
        </w:div>
      </w:divsChild>
    </w:div>
    <w:div w:id="349991197">
      <w:bodyDiv w:val="1"/>
      <w:marLeft w:val="0"/>
      <w:marRight w:val="0"/>
      <w:marTop w:val="0"/>
      <w:marBottom w:val="0"/>
      <w:divBdr>
        <w:top w:val="none" w:sz="0" w:space="0" w:color="auto"/>
        <w:left w:val="none" w:sz="0" w:space="0" w:color="auto"/>
        <w:bottom w:val="none" w:sz="0" w:space="0" w:color="auto"/>
        <w:right w:val="none" w:sz="0" w:space="0" w:color="auto"/>
      </w:divBdr>
    </w:div>
    <w:div w:id="410006720">
      <w:bodyDiv w:val="1"/>
      <w:marLeft w:val="0"/>
      <w:marRight w:val="0"/>
      <w:marTop w:val="0"/>
      <w:marBottom w:val="0"/>
      <w:divBdr>
        <w:top w:val="none" w:sz="0" w:space="0" w:color="auto"/>
        <w:left w:val="none" w:sz="0" w:space="0" w:color="auto"/>
        <w:bottom w:val="none" w:sz="0" w:space="0" w:color="auto"/>
        <w:right w:val="none" w:sz="0" w:space="0" w:color="auto"/>
      </w:divBdr>
    </w:div>
    <w:div w:id="705301400">
      <w:bodyDiv w:val="1"/>
      <w:marLeft w:val="0"/>
      <w:marRight w:val="0"/>
      <w:marTop w:val="0"/>
      <w:marBottom w:val="0"/>
      <w:divBdr>
        <w:top w:val="none" w:sz="0" w:space="0" w:color="auto"/>
        <w:left w:val="none" w:sz="0" w:space="0" w:color="auto"/>
        <w:bottom w:val="none" w:sz="0" w:space="0" w:color="auto"/>
        <w:right w:val="none" w:sz="0" w:space="0" w:color="auto"/>
      </w:divBdr>
      <w:divsChild>
        <w:div w:id="703796735">
          <w:marLeft w:val="0"/>
          <w:marRight w:val="0"/>
          <w:marTop w:val="0"/>
          <w:marBottom w:val="0"/>
          <w:divBdr>
            <w:top w:val="none" w:sz="0" w:space="0" w:color="auto"/>
            <w:left w:val="none" w:sz="0" w:space="0" w:color="auto"/>
            <w:bottom w:val="none" w:sz="0" w:space="0" w:color="auto"/>
            <w:right w:val="none" w:sz="0" w:space="0" w:color="auto"/>
          </w:divBdr>
        </w:div>
        <w:div w:id="1579242760">
          <w:marLeft w:val="0"/>
          <w:marRight w:val="0"/>
          <w:marTop w:val="0"/>
          <w:marBottom w:val="0"/>
          <w:divBdr>
            <w:top w:val="none" w:sz="0" w:space="0" w:color="auto"/>
            <w:left w:val="none" w:sz="0" w:space="0" w:color="auto"/>
            <w:bottom w:val="none" w:sz="0" w:space="0" w:color="auto"/>
            <w:right w:val="none" w:sz="0" w:space="0" w:color="auto"/>
          </w:divBdr>
        </w:div>
      </w:divsChild>
    </w:div>
    <w:div w:id="754060553">
      <w:bodyDiv w:val="1"/>
      <w:marLeft w:val="0"/>
      <w:marRight w:val="0"/>
      <w:marTop w:val="0"/>
      <w:marBottom w:val="0"/>
      <w:divBdr>
        <w:top w:val="none" w:sz="0" w:space="0" w:color="auto"/>
        <w:left w:val="none" w:sz="0" w:space="0" w:color="auto"/>
        <w:bottom w:val="none" w:sz="0" w:space="0" w:color="auto"/>
        <w:right w:val="none" w:sz="0" w:space="0" w:color="auto"/>
      </w:divBdr>
    </w:div>
    <w:div w:id="799569934">
      <w:bodyDiv w:val="1"/>
      <w:marLeft w:val="0"/>
      <w:marRight w:val="0"/>
      <w:marTop w:val="0"/>
      <w:marBottom w:val="0"/>
      <w:divBdr>
        <w:top w:val="none" w:sz="0" w:space="0" w:color="auto"/>
        <w:left w:val="none" w:sz="0" w:space="0" w:color="auto"/>
        <w:bottom w:val="none" w:sz="0" w:space="0" w:color="auto"/>
        <w:right w:val="none" w:sz="0" w:space="0" w:color="auto"/>
      </w:divBdr>
    </w:div>
    <w:div w:id="854416719">
      <w:bodyDiv w:val="1"/>
      <w:marLeft w:val="0"/>
      <w:marRight w:val="0"/>
      <w:marTop w:val="0"/>
      <w:marBottom w:val="0"/>
      <w:divBdr>
        <w:top w:val="none" w:sz="0" w:space="0" w:color="auto"/>
        <w:left w:val="none" w:sz="0" w:space="0" w:color="auto"/>
        <w:bottom w:val="none" w:sz="0" w:space="0" w:color="auto"/>
        <w:right w:val="none" w:sz="0" w:space="0" w:color="auto"/>
      </w:divBdr>
    </w:div>
    <w:div w:id="1144275061">
      <w:bodyDiv w:val="1"/>
      <w:marLeft w:val="0"/>
      <w:marRight w:val="0"/>
      <w:marTop w:val="0"/>
      <w:marBottom w:val="0"/>
      <w:divBdr>
        <w:top w:val="none" w:sz="0" w:space="0" w:color="auto"/>
        <w:left w:val="none" w:sz="0" w:space="0" w:color="auto"/>
        <w:bottom w:val="none" w:sz="0" w:space="0" w:color="auto"/>
        <w:right w:val="none" w:sz="0" w:space="0" w:color="auto"/>
      </w:divBdr>
    </w:div>
    <w:div w:id="1325282360">
      <w:bodyDiv w:val="1"/>
      <w:marLeft w:val="0"/>
      <w:marRight w:val="0"/>
      <w:marTop w:val="0"/>
      <w:marBottom w:val="0"/>
      <w:divBdr>
        <w:top w:val="none" w:sz="0" w:space="0" w:color="auto"/>
        <w:left w:val="none" w:sz="0" w:space="0" w:color="auto"/>
        <w:bottom w:val="none" w:sz="0" w:space="0" w:color="auto"/>
        <w:right w:val="none" w:sz="0" w:space="0" w:color="auto"/>
      </w:divBdr>
    </w:div>
    <w:div w:id="1548299342">
      <w:bodyDiv w:val="1"/>
      <w:marLeft w:val="0"/>
      <w:marRight w:val="0"/>
      <w:marTop w:val="0"/>
      <w:marBottom w:val="0"/>
      <w:divBdr>
        <w:top w:val="none" w:sz="0" w:space="0" w:color="auto"/>
        <w:left w:val="none" w:sz="0" w:space="0" w:color="auto"/>
        <w:bottom w:val="none" w:sz="0" w:space="0" w:color="auto"/>
        <w:right w:val="none" w:sz="0" w:space="0" w:color="auto"/>
      </w:divBdr>
    </w:div>
    <w:div w:id="1581527686">
      <w:bodyDiv w:val="1"/>
      <w:marLeft w:val="0"/>
      <w:marRight w:val="0"/>
      <w:marTop w:val="0"/>
      <w:marBottom w:val="0"/>
      <w:divBdr>
        <w:top w:val="none" w:sz="0" w:space="0" w:color="auto"/>
        <w:left w:val="none" w:sz="0" w:space="0" w:color="auto"/>
        <w:bottom w:val="none" w:sz="0" w:space="0" w:color="auto"/>
        <w:right w:val="none" w:sz="0" w:space="0" w:color="auto"/>
      </w:divBdr>
      <w:divsChild>
        <w:div w:id="1812946064">
          <w:marLeft w:val="446"/>
          <w:marRight w:val="0"/>
          <w:marTop w:val="150"/>
          <w:marBottom w:val="0"/>
          <w:divBdr>
            <w:top w:val="none" w:sz="0" w:space="0" w:color="auto"/>
            <w:left w:val="none" w:sz="0" w:space="0" w:color="auto"/>
            <w:bottom w:val="none" w:sz="0" w:space="0" w:color="auto"/>
            <w:right w:val="none" w:sz="0" w:space="0" w:color="auto"/>
          </w:divBdr>
        </w:div>
        <w:div w:id="1819028464">
          <w:marLeft w:val="446"/>
          <w:marRight w:val="0"/>
          <w:marTop w:val="150"/>
          <w:marBottom w:val="0"/>
          <w:divBdr>
            <w:top w:val="none" w:sz="0" w:space="0" w:color="auto"/>
            <w:left w:val="none" w:sz="0" w:space="0" w:color="auto"/>
            <w:bottom w:val="none" w:sz="0" w:space="0" w:color="auto"/>
            <w:right w:val="none" w:sz="0" w:space="0" w:color="auto"/>
          </w:divBdr>
        </w:div>
        <w:div w:id="1773863324">
          <w:marLeft w:val="446"/>
          <w:marRight w:val="0"/>
          <w:marTop w:val="150"/>
          <w:marBottom w:val="0"/>
          <w:divBdr>
            <w:top w:val="none" w:sz="0" w:space="0" w:color="auto"/>
            <w:left w:val="none" w:sz="0" w:space="0" w:color="auto"/>
            <w:bottom w:val="none" w:sz="0" w:space="0" w:color="auto"/>
            <w:right w:val="none" w:sz="0" w:space="0" w:color="auto"/>
          </w:divBdr>
        </w:div>
        <w:div w:id="2048024414">
          <w:marLeft w:val="446"/>
          <w:marRight w:val="0"/>
          <w:marTop w:val="150"/>
          <w:marBottom w:val="0"/>
          <w:divBdr>
            <w:top w:val="none" w:sz="0" w:space="0" w:color="auto"/>
            <w:left w:val="none" w:sz="0" w:space="0" w:color="auto"/>
            <w:bottom w:val="none" w:sz="0" w:space="0" w:color="auto"/>
            <w:right w:val="none" w:sz="0" w:space="0" w:color="auto"/>
          </w:divBdr>
        </w:div>
        <w:div w:id="626089959">
          <w:marLeft w:val="1267"/>
          <w:marRight w:val="0"/>
          <w:marTop w:val="75"/>
          <w:marBottom w:val="0"/>
          <w:divBdr>
            <w:top w:val="none" w:sz="0" w:space="0" w:color="auto"/>
            <w:left w:val="none" w:sz="0" w:space="0" w:color="auto"/>
            <w:bottom w:val="none" w:sz="0" w:space="0" w:color="auto"/>
            <w:right w:val="none" w:sz="0" w:space="0" w:color="auto"/>
          </w:divBdr>
        </w:div>
        <w:div w:id="2068143994">
          <w:marLeft w:val="1267"/>
          <w:marRight w:val="0"/>
          <w:marTop w:val="75"/>
          <w:marBottom w:val="0"/>
          <w:divBdr>
            <w:top w:val="none" w:sz="0" w:space="0" w:color="auto"/>
            <w:left w:val="none" w:sz="0" w:space="0" w:color="auto"/>
            <w:bottom w:val="none" w:sz="0" w:space="0" w:color="auto"/>
            <w:right w:val="none" w:sz="0" w:space="0" w:color="auto"/>
          </w:divBdr>
        </w:div>
      </w:divsChild>
    </w:div>
    <w:div w:id="1791166419">
      <w:bodyDiv w:val="1"/>
      <w:marLeft w:val="0"/>
      <w:marRight w:val="0"/>
      <w:marTop w:val="0"/>
      <w:marBottom w:val="0"/>
      <w:divBdr>
        <w:top w:val="none" w:sz="0" w:space="0" w:color="auto"/>
        <w:left w:val="none" w:sz="0" w:space="0" w:color="auto"/>
        <w:bottom w:val="none" w:sz="0" w:space="0" w:color="auto"/>
        <w:right w:val="none" w:sz="0" w:space="0" w:color="auto"/>
      </w:divBdr>
    </w:div>
    <w:div w:id="1875579052">
      <w:bodyDiv w:val="1"/>
      <w:marLeft w:val="0"/>
      <w:marRight w:val="0"/>
      <w:marTop w:val="0"/>
      <w:marBottom w:val="0"/>
      <w:divBdr>
        <w:top w:val="none" w:sz="0" w:space="0" w:color="auto"/>
        <w:left w:val="none" w:sz="0" w:space="0" w:color="auto"/>
        <w:bottom w:val="none" w:sz="0" w:space="0" w:color="auto"/>
        <w:right w:val="none" w:sz="0" w:space="0" w:color="auto"/>
      </w:divBdr>
    </w:div>
    <w:div w:id="1881356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14.png"/></Relationship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18.png"/><Relationship Id="rId47" Type="http://schemas.openxmlformats.org/officeDocument/2006/relationships/chart" Target="charts/chart13.xml"/><Relationship Id="rId63" Type="http://schemas.openxmlformats.org/officeDocument/2006/relationships/image" Target="media/image28.png"/><Relationship Id="rId68" Type="http://schemas.openxmlformats.org/officeDocument/2006/relationships/image" Target="media/image33.jpeg"/><Relationship Id="rId84" Type="http://schemas.openxmlformats.org/officeDocument/2006/relationships/theme" Target="theme/theme1.xml"/><Relationship Id="rId16" Type="http://schemas.openxmlformats.org/officeDocument/2006/relationships/header" Target="header4.xml"/><Relationship Id="rId11" Type="http://schemas.openxmlformats.org/officeDocument/2006/relationships/footer" Target="footer1.xml"/><Relationship Id="rId32" Type="http://schemas.microsoft.com/office/2011/relationships/commentsExtended" Target="commentsExtended.xml"/><Relationship Id="rId37" Type="http://schemas.openxmlformats.org/officeDocument/2006/relationships/image" Target="media/image15.png"/><Relationship Id="rId53" Type="http://schemas.openxmlformats.org/officeDocument/2006/relationships/chart" Target="charts/chart15.xml"/><Relationship Id="rId58" Type="http://schemas.openxmlformats.org/officeDocument/2006/relationships/image" Target="media/image25.png"/><Relationship Id="rId74" Type="http://schemas.openxmlformats.org/officeDocument/2006/relationships/image" Target="media/image36.png"/><Relationship Id="rId79" Type="http://schemas.openxmlformats.org/officeDocument/2006/relationships/image" Target="media/image41.png"/><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chart" Target="charts/chart4.xml"/><Relationship Id="rId30" Type="http://schemas.openxmlformats.org/officeDocument/2006/relationships/chart" Target="charts/chart6.xml"/><Relationship Id="rId35" Type="http://schemas.openxmlformats.org/officeDocument/2006/relationships/chart" Target="charts/chart7.xml"/><Relationship Id="rId43" Type="http://schemas.openxmlformats.org/officeDocument/2006/relationships/chart" Target="charts/chart11.xml"/><Relationship Id="rId48" Type="http://schemas.openxmlformats.org/officeDocument/2006/relationships/image" Target="media/image20.png"/><Relationship Id="rId56" Type="http://schemas.openxmlformats.org/officeDocument/2006/relationships/chart" Target="charts/chart18.xml"/><Relationship Id="rId64" Type="http://schemas.openxmlformats.org/officeDocument/2006/relationships/image" Target="media/image29.png"/><Relationship Id="rId69" Type="http://schemas.openxmlformats.org/officeDocument/2006/relationships/hyperlink" Target="http://www.economiedenergie.fr" TargetMode="External"/><Relationship Id="rId77"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chart" Target="charts/chart3.xml"/><Relationship Id="rId33" Type="http://schemas.microsoft.com/office/2016/09/relationships/commentsIds" Target="commentsIds.xml"/><Relationship Id="rId38" Type="http://schemas.openxmlformats.org/officeDocument/2006/relationships/chart" Target="charts/chart9.xml"/><Relationship Id="rId46" Type="http://schemas.openxmlformats.org/officeDocument/2006/relationships/chart" Target="charts/chart12.xml"/><Relationship Id="rId59" Type="http://schemas.openxmlformats.org/officeDocument/2006/relationships/image" Target="media/image26.png"/><Relationship Id="rId67" Type="http://schemas.openxmlformats.org/officeDocument/2006/relationships/image" Target="media/image32.png"/><Relationship Id="rId20" Type="http://schemas.openxmlformats.org/officeDocument/2006/relationships/chart" Target="charts/chart2.xml"/><Relationship Id="rId41" Type="http://schemas.openxmlformats.org/officeDocument/2006/relationships/image" Target="media/image17.png"/><Relationship Id="rId54" Type="http://schemas.openxmlformats.org/officeDocument/2006/relationships/chart" Target="charts/chart16.xml"/><Relationship Id="rId62" Type="http://schemas.openxmlformats.org/officeDocument/2006/relationships/image" Target="media/image27.png"/><Relationship Id="rId70" Type="http://schemas.openxmlformats.org/officeDocument/2006/relationships/hyperlink" Target="http://www.bilans-ges.ademe.fr/documentation/UPLOAD_DOC_FR/index.htm?emissions_evitees.htm" TargetMode="External"/><Relationship Id="rId75" Type="http://schemas.openxmlformats.org/officeDocument/2006/relationships/image" Target="media/image37.png"/><Relationship Id="rId83"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chart" Target="charts/chart8.xml"/><Relationship Id="rId49" Type="http://schemas.openxmlformats.org/officeDocument/2006/relationships/image" Target="media/image21.png"/><Relationship Id="rId57" Type="http://schemas.openxmlformats.org/officeDocument/2006/relationships/image" Target="media/image24.png"/><Relationship Id="rId10" Type="http://schemas.openxmlformats.org/officeDocument/2006/relationships/header" Target="header1.xml"/><Relationship Id="rId31" Type="http://schemas.openxmlformats.org/officeDocument/2006/relationships/comments" Target="comments.xml"/><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chart" Target="charts/chart19.xml"/><Relationship Id="rId65" Type="http://schemas.openxmlformats.org/officeDocument/2006/relationships/image" Target="media/image30.pn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chart" Target="charts/chart1.xml"/><Relationship Id="rId39" Type="http://schemas.openxmlformats.org/officeDocument/2006/relationships/chart" Target="charts/chart10.xml"/><Relationship Id="rId34" Type="http://schemas.microsoft.com/office/2018/08/relationships/commentsExtensible" Target="commentsExtensible.xml"/><Relationship Id="rId50" Type="http://schemas.openxmlformats.org/officeDocument/2006/relationships/chart" Target="charts/chart14.xml"/><Relationship Id="rId55" Type="http://schemas.openxmlformats.org/officeDocument/2006/relationships/chart" Target="charts/chart17.xml"/><Relationship Id="rId76"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hyperlink" Target="https://globalsolaratlas.info" TargetMode="External"/><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1.png"/><Relationship Id="rId40" Type="http://schemas.openxmlformats.org/officeDocument/2006/relationships/image" Target="media/image16.png"/><Relationship Id="rId45" Type="http://schemas.openxmlformats.org/officeDocument/2006/relationships/hyperlink" Target="https://cartofriches.cerema.fr/cartofriches/" TargetMode="External"/><Relationship Id="rId66" Type="http://schemas.openxmlformats.org/officeDocument/2006/relationships/image" Target="media/image31.png"/><Relationship Id="rId87" Type="http://schemas.openxmlformats.org/officeDocument/2006/relationships/customXml" Target="../customXml/item4.xml"/><Relationship Id="rId61" Type="http://schemas.openxmlformats.org/officeDocument/2006/relationships/chart" Target="charts/chart20.xml"/><Relationship Id="rId8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hyperlink" Target="http://www.akajoule.com"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3" Type="http://schemas.openxmlformats.org/officeDocument/2006/relationships/hyperlink" Target="https://www.grtgaz.com/vous-etes/client/producteur/droit-injection-et-rebours" TargetMode="External"/><Relationship Id="rId2" Type="http://schemas.openxmlformats.org/officeDocument/2006/relationships/hyperlink" Target="https://www.enrchoix.idf.ademe.fr/ressources/chaleur-fatale/etude-potentiel-production-valorisation-chaleur-fatale-idf.pdf" TargetMode="External"/><Relationship Id="rId1" Type="http://schemas.openxmlformats.org/officeDocument/2006/relationships/hyperlink" Target="https://www.fibois-idf.fr/les-chiffres-cles-du-bois-energie-en-ile-de-franc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bouygues\Bureau\Franp%20News%20centre%20formation.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coeurdacier\Desktop\Chevreuse\Classeur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_V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1-Calculs%20des%20potentiels\Potentiel%20bois%20&#233;nergie_MCA-Potentiel%20modifi&#233;.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Potentiel%20bois%20&#233;nergie_MCA-Potentiel%20modifi&#233;.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potentiels\hvcMethaPotentiel.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_V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1-Calculs%20des%20potentiels\230110_Potentiel%20par%20commune_JR_V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coeurdacier\Desktop\Chevreuse\Classeur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1-Calculs%20des%20potentiels\230110_Potentiel%20par%20commune_JR_V2.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coeurdacier\Desktop\Chevreuse\zoom_electricit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coeurdacier\Downloads\conso-elec-gaz-annuelle-par-secteur-dactivite-agregee-commune.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coeurdacier\Desktop\Chevreuse\Classeur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21122%20-%20Traitement%20des%20donn&#233;es%20pour%20rapport_JR.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3-DONNEES%20D'ENTREE\Donn&#233;es%20&#233;nergie\Production\Prod_Elec_2020_Com_CCHVC.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Calculs%20des%20potentiels\221122%20-%20Traitement%20des%20donn&#233;es%20pour%20rapport_JR.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44.240\public\09-OPERATIONS\2300EPX-POTENTIEL%20ENR%20HAUTE%20VALLEE%20DE%20CHEVREUSE\4-ETUDES\230110_Potentiel%20par%20commune_JR_V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cap="all" baseline="0">
                <a:solidFill>
                  <a:schemeClr val="tx1">
                    <a:lumMod val="65000"/>
                    <a:lumOff val="35000"/>
                  </a:schemeClr>
                </a:solidFill>
              </a:rPr>
              <a:t>Répartition des consommations </a:t>
            </a:r>
            <a:br>
              <a:rPr lang="en-US" sz="1200" b="1" cap="all" baseline="0">
                <a:solidFill>
                  <a:schemeClr val="tx1">
                    <a:lumMod val="65000"/>
                    <a:lumOff val="35000"/>
                  </a:schemeClr>
                </a:solidFill>
              </a:rPr>
            </a:br>
            <a:r>
              <a:rPr lang="en-US" sz="1200" b="1" cap="all" baseline="0">
                <a:solidFill>
                  <a:schemeClr val="tx1">
                    <a:lumMod val="65000"/>
                    <a:lumOff val="35000"/>
                  </a:schemeClr>
                </a:solidFill>
              </a:rPr>
              <a:t>par vecteur energétique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'Conso par énergie'!$C$2</c:f>
              <c:strCache>
                <c:ptCount val="1"/>
                <c:pt idx="0">
                  <c:v>Conso (MWh EF)</c:v>
                </c:pt>
              </c:strCache>
            </c:strRef>
          </c:tx>
          <c:dPt>
            <c:idx val="0"/>
            <c:bubble3D val="0"/>
            <c:spPr>
              <a:solidFill>
                <a:srgbClr val="C7471D"/>
              </a:solidFill>
              <a:ln w="19050">
                <a:solidFill>
                  <a:schemeClr val="lt1"/>
                </a:solidFill>
              </a:ln>
              <a:effectLst/>
            </c:spPr>
            <c:extLst>
              <c:ext xmlns:c16="http://schemas.microsoft.com/office/drawing/2014/chart" uri="{C3380CC4-5D6E-409C-BE32-E72D297353CC}">
                <c16:uniqueId val="{00000001-CB73-435A-928B-265B38EDA431}"/>
              </c:ext>
            </c:extLst>
          </c:dPt>
          <c:dPt>
            <c:idx val="1"/>
            <c:bubble3D val="0"/>
            <c:spPr>
              <a:solidFill>
                <a:srgbClr val="EC694A"/>
              </a:solidFill>
              <a:ln w="19050">
                <a:solidFill>
                  <a:schemeClr val="lt1"/>
                </a:solidFill>
              </a:ln>
              <a:effectLst/>
            </c:spPr>
            <c:extLst>
              <c:ext xmlns:c16="http://schemas.microsoft.com/office/drawing/2014/chart" uri="{C3380CC4-5D6E-409C-BE32-E72D297353CC}">
                <c16:uniqueId val="{00000003-CB73-435A-928B-265B38EDA431}"/>
              </c:ext>
            </c:extLst>
          </c:dPt>
          <c:dPt>
            <c:idx val="2"/>
            <c:bubble3D val="0"/>
            <c:spPr>
              <a:solidFill>
                <a:srgbClr val="96C01E"/>
              </a:solidFill>
              <a:ln w="19050">
                <a:solidFill>
                  <a:schemeClr val="lt1"/>
                </a:solidFill>
              </a:ln>
              <a:effectLst/>
            </c:spPr>
            <c:extLst>
              <c:ext xmlns:c16="http://schemas.microsoft.com/office/drawing/2014/chart" uri="{C3380CC4-5D6E-409C-BE32-E72D297353CC}">
                <c16:uniqueId val="{00000005-CB73-435A-928B-265B38EDA431}"/>
              </c:ext>
            </c:extLst>
          </c:dPt>
          <c:dPt>
            <c:idx val="3"/>
            <c:bubble3D val="0"/>
            <c:spPr>
              <a:solidFill>
                <a:srgbClr val="FFD75A"/>
              </a:solidFill>
              <a:ln w="19050">
                <a:solidFill>
                  <a:schemeClr val="lt1"/>
                </a:solidFill>
              </a:ln>
              <a:effectLst/>
            </c:spPr>
            <c:extLst>
              <c:ext xmlns:c16="http://schemas.microsoft.com/office/drawing/2014/chart" uri="{C3380CC4-5D6E-409C-BE32-E72D297353CC}">
                <c16:uniqueId val="{00000007-CB73-435A-928B-265B38EDA431}"/>
              </c:ext>
            </c:extLst>
          </c:dPt>
          <c:dLbls>
            <c:dLbl>
              <c:idx val="0"/>
              <c:layout>
                <c:manualLayout>
                  <c:x val="2.8663699646239799E-2"/>
                  <c:y val="8.6757992396741201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CB73-435A-928B-265B38EDA431}"/>
                </c:ext>
              </c:extLst>
            </c:dLbl>
            <c:dLbl>
              <c:idx val="1"/>
              <c:layout>
                <c:manualLayout>
                  <c:x val="-0.11751825858724201"/>
                  <c:y val="-1.6608351796732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CB73-435A-928B-265B38EDA431}"/>
                </c:ext>
              </c:extLst>
            </c:dLbl>
            <c:dLbl>
              <c:idx val="2"/>
              <c:layout>
                <c:manualLayout>
                  <c:x val="-2.1917912434858699E-2"/>
                  <c:y val="-6.9907517795858697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CB73-435A-928B-265B38EDA431}"/>
                </c:ext>
              </c:extLst>
            </c:dLbl>
            <c:dLbl>
              <c:idx val="3"/>
              <c:layout>
                <c:manualLayout>
                  <c:x val="-1.4206131842215501E-2"/>
                  <c:y val="2.5876665389633498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CB73-435A-928B-265B38EDA4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'Conso par énergie'!$B$3:$B$6</c:f>
              <c:strCache>
                <c:ptCount val="4"/>
                <c:pt idx="0">
                  <c:v>Gaz naturel</c:v>
                </c:pt>
                <c:pt idx="1">
                  <c:v>Eléctricité</c:v>
                </c:pt>
                <c:pt idx="2">
                  <c:v>Produits pétroliers et charbon</c:v>
                </c:pt>
                <c:pt idx="3">
                  <c:v>Bois</c:v>
                </c:pt>
              </c:strCache>
              <c:extLst/>
            </c:strRef>
          </c:cat>
          <c:val>
            <c:numRef>
              <c:f>'Conso par énergie'!$C$3:$C$6</c:f>
              <c:numCache>
                <c:formatCode>#,##0</c:formatCode>
                <c:ptCount val="4"/>
                <c:pt idx="0">
                  <c:v>152425.09</c:v>
                </c:pt>
                <c:pt idx="1">
                  <c:v>113564.79</c:v>
                </c:pt>
                <c:pt idx="2">
                  <c:v>123561.22</c:v>
                </c:pt>
                <c:pt idx="3">
                  <c:v>21979.43</c:v>
                </c:pt>
              </c:numCache>
              <c:extLst/>
            </c:numRef>
          </c:val>
          <c:extLst>
            <c:ext xmlns:c16="http://schemas.microsoft.com/office/drawing/2014/chart" uri="{C3380CC4-5D6E-409C-BE32-E72D297353CC}">
              <c16:uniqueId val="{00000008-CB73-435A-928B-265B38EDA431}"/>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Répartition</a:t>
            </a:r>
            <a:r>
              <a:rPr lang="fr-FR" baseline="0"/>
              <a:t> des gaz à effet de serre évités </a:t>
            </a:r>
            <a:br>
              <a:rPr lang="fr-FR" baseline="0"/>
            </a:br>
            <a:r>
              <a:rPr lang="fr-FR" baseline="0"/>
              <a:t>par filière EnR&amp;R</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64C-468B-BA73-3269F7CC4F0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64C-468B-BA73-3269F7CC4F0E}"/>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fr-FR"/>
              </a:p>
            </c:txPr>
            <c:dLblPos val="outEnd"/>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'Emplois - GES'!$B$64:$B$65</c:f>
              <c:strCache>
                <c:ptCount val="2"/>
                <c:pt idx="0">
                  <c:v>Bois énergie </c:v>
                </c:pt>
                <c:pt idx="1">
                  <c:v>Solaire photovoltaïque</c:v>
                </c:pt>
              </c:strCache>
            </c:strRef>
          </c:cat>
          <c:val>
            <c:numRef>
              <c:f>'Emplois - GES'!$C$64:$C$65</c:f>
              <c:numCache>
                <c:formatCode>0.0</c:formatCode>
                <c:ptCount val="2"/>
                <c:pt idx="0">
                  <c:v>172.83176312247639</c:v>
                </c:pt>
                <c:pt idx="1">
                  <c:v>8.9530761209593326</c:v>
                </c:pt>
              </c:numCache>
            </c:numRef>
          </c:val>
          <c:extLst>
            <c:ext xmlns:c16="http://schemas.microsoft.com/office/drawing/2014/chart" uri="{C3380CC4-5D6E-409C-BE32-E72D297353CC}">
              <c16:uniqueId val="{00000004-164C-468B-BA73-3269F7CC4F0E}"/>
            </c:ext>
          </c:extLst>
        </c:ser>
        <c:dLbls>
          <c:dLblPos val="outEnd"/>
          <c:showLegendKey val="0"/>
          <c:showVal val="0"/>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fr-FR" sz="1200" b="1"/>
              <a:t>POTENTIEL DE PRODUCTION SOLAIRE PV</a:t>
            </a:r>
            <a:r>
              <a:rPr lang="fr-FR" sz="1200" b="1" baseline="0"/>
              <a:t> EN OMBRIERES DE PARKINGS (MWH)</a:t>
            </a:r>
            <a:endParaRPr lang="fr-FR"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PV!$C$102</c:f>
              <c:strCache>
                <c:ptCount val="1"/>
                <c:pt idx="0">
                  <c:v>Hors pda</c:v>
                </c:pt>
              </c:strCache>
            </c:strRef>
          </c:tx>
          <c:spPr>
            <a:solidFill>
              <a:schemeClr val="accent1"/>
            </a:solidFill>
            <a:ln>
              <a:noFill/>
            </a:ln>
            <a:effectLst/>
          </c:spPr>
          <c:invertIfNegative val="0"/>
          <c:cat>
            <c:strRef>
              <c:f>PV!$B$103:$B$110</c:f>
              <c:strCache>
                <c:ptCount val="8"/>
                <c:pt idx="0">
                  <c:v>Chevreuse</c:v>
                </c:pt>
                <c:pt idx="1">
                  <c:v>Choisel</c:v>
                </c:pt>
                <c:pt idx="2">
                  <c:v>Dampierre-en-Yvelines</c:v>
                </c:pt>
                <c:pt idx="3">
                  <c:v>Le Mesnil-Saint-Denis</c:v>
                </c:pt>
                <c:pt idx="4">
                  <c:v>Lévis-Saint-Nom</c:v>
                </c:pt>
                <c:pt idx="5">
                  <c:v>Saint-Lambert</c:v>
                </c:pt>
                <c:pt idx="6">
                  <c:v>Saint-Rémy-lès-Chevreuse</c:v>
                </c:pt>
                <c:pt idx="7">
                  <c:v>Senlisse</c:v>
                </c:pt>
              </c:strCache>
            </c:strRef>
          </c:cat>
          <c:val>
            <c:numRef>
              <c:f>PV!$C$103:$C$110</c:f>
              <c:numCache>
                <c:formatCode>0.0</c:formatCode>
                <c:ptCount val="8"/>
                <c:pt idx="0">
                  <c:v>670.96630688644632</c:v>
                </c:pt>
                <c:pt idx="1">
                  <c:v>0</c:v>
                </c:pt>
                <c:pt idx="2">
                  <c:v>118.02997144058661</c:v>
                </c:pt>
                <c:pt idx="3">
                  <c:v>386.70537426100191</c:v>
                </c:pt>
                <c:pt idx="4">
                  <c:v>271.82013734575918</c:v>
                </c:pt>
                <c:pt idx="5">
                  <c:v>64.993967394355806</c:v>
                </c:pt>
                <c:pt idx="6">
                  <c:v>2373.9238369824329</c:v>
                </c:pt>
                <c:pt idx="7">
                  <c:v>0</c:v>
                </c:pt>
              </c:numCache>
            </c:numRef>
          </c:val>
          <c:extLst>
            <c:ext xmlns:c16="http://schemas.microsoft.com/office/drawing/2014/chart" uri="{C3380CC4-5D6E-409C-BE32-E72D297353CC}">
              <c16:uniqueId val="{00000000-814E-4EE4-970F-FF6271B3239D}"/>
            </c:ext>
          </c:extLst>
        </c:ser>
        <c:ser>
          <c:idx val="1"/>
          <c:order val="1"/>
          <c:tx>
            <c:strRef>
              <c:f>PV!$D$102</c:f>
              <c:strCache>
                <c:ptCount val="1"/>
                <c:pt idx="0">
                  <c:v>Dans pda</c:v>
                </c:pt>
              </c:strCache>
            </c:strRef>
          </c:tx>
          <c:spPr>
            <a:solidFill>
              <a:schemeClr val="accent2"/>
            </a:solidFill>
            <a:ln>
              <a:noFill/>
            </a:ln>
            <a:effectLst/>
          </c:spPr>
          <c:invertIfNegative val="0"/>
          <c:cat>
            <c:strRef>
              <c:f>PV!$B$103:$B$110</c:f>
              <c:strCache>
                <c:ptCount val="8"/>
                <c:pt idx="0">
                  <c:v>Chevreuse</c:v>
                </c:pt>
                <c:pt idx="1">
                  <c:v>Choisel</c:v>
                </c:pt>
                <c:pt idx="2">
                  <c:v>Dampierre-en-Yvelines</c:v>
                </c:pt>
                <c:pt idx="3">
                  <c:v>Le Mesnil-Saint-Denis</c:v>
                </c:pt>
                <c:pt idx="4">
                  <c:v>Lévis-Saint-Nom</c:v>
                </c:pt>
                <c:pt idx="5">
                  <c:v>Saint-Lambert</c:v>
                </c:pt>
                <c:pt idx="6">
                  <c:v>Saint-Rémy-lès-Chevreuse</c:v>
                </c:pt>
                <c:pt idx="7">
                  <c:v>Senlisse</c:v>
                </c:pt>
              </c:strCache>
            </c:strRef>
          </c:cat>
          <c:val>
            <c:numRef>
              <c:f>PV!$D$103:$D$110</c:f>
              <c:numCache>
                <c:formatCode>0.0</c:formatCode>
                <c:ptCount val="8"/>
                <c:pt idx="0">
                  <c:v>1605.532779789638</c:v>
                </c:pt>
                <c:pt idx="1">
                  <c:v>107.3228934514308</c:v>
                </c:pt>
                <c:pt idx="2">
                  <c:v>150.62656693363601</c:v>
                </c:pt>
                <c:pt idx="3">
                  <c:v>904.292772239859</c:v>
                </c:pt>
                <c:pt idx="4" formatCode="General">
                  <c:v>0</c:v>
                </c:pt>
                <c:pt idx="5">
                  <c:v>167.17282170244809</c:v>
                </c:pt>
                <c:pt idx="6">
                  <c:v>0</c:v>
                </c:pt>
                <c:pt idx="7">
                  <c:v>0</c:v>
                </c:pt>
              </c:numCache>
            </c:numRef>
          </c:val>
          <c:extLst>
            <c:ext xmlns:c16="http://schemas.microsoft.com/office/drawing/2014/chart" uri="{C3380CC4-5D6E-409C-BE32-E72D297353CC}">
              <c16:uniqueId val="{00000001-814E-4EE4-970F-FF6271B3239D}"/>
            </c:ext>
          </c:extLst>
        </c:ser>
        <c:dLbls>
          <c:showLegendKey val="0"/>
          <c:showVal val="0"/>
          <c:showCatName val="0"/>
          <c:showSerName val="0"/>
          <c:showPercent val="0"/>
          <c:showBubbleSize val="0"/>
        </c:dLbls>
        <c:gapWidth val="150"/>
        <c:overlap val="100"/>
        <c:axId val="-358431664"/>
        <c:axId val="-358429344"/>
      </c:barChart>
      <c:catAx>
        <c:axId val="-35843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429344"/>
        <c:crosses val="autoZero"/>
        <c:auto val="1"/>
        <c:lblAlgn val="ctr"/>
        <c:lblOffset val="100"/>
        <c:noMultiLvlLbl val="0"/>
      </c:catAx>
      <c:valAx>
        <c:axId val="-358429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43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none" spc="50" normalizeH="0" baseline="0">
                <a:solidFill>
                  <a:schemeClr val="tx1">
                    <a:lumMod val="65000"/>
                    <a:lumOff val="35000"/>
                  </a:schemeClr>
                </a:solidFill>
                <a:latin typeface="+mn-lt"/>
                <a:ea typeface="+mj-ea"/>
                <a:cs typeface="+mj-cs"/>
              </a:defRPr>
            </a:pPr>
            <a:r>
              <a:rPr lang="fr-FR" sz="1100" b="1">
                <a:latin typeface="+mn-lt"/>
              </a:rPr>
              <a:t>SURFACES CONSIDÉRÉES POUR L'INSTALLATION DE SOLAIRE THERMIQUE PAR TYPE DE CONSOMMATEURS (M²)</a:t>
            </a:r>
          </a:p>
        </c:rich>
      </c:tx>
      <c:overlay val="0"/>
      <c:spPr>
        <a:noFill/>
        <a:ln>
          <a:noFill/>
        </a:ln>
        <a:effectLst/>
      </c:spPr>
      <c:txPr>
        <a:bodyPr rot="0" spcFirstLastPara="1" vertOverflow="ellipsis" vert="horz" wrap="square" anchor="ctr" anchorCtr="1"/>
        <a:lstStyle/>
        <a:p>
          <a:pPr>
            <a:defRPr sz="1100" b="1" i="0" u="none" strike="noStrike" kern="1200" cap="none" spc="50" normalizeH="0" baseline="0">
              <a:solidFill>
                <a:schemeClr val="tx1">
                  <a:lumMod val="65000"/>
                  <a:lumOff val="35000"/>
                </a:schemeClr>
              </a:solidFill>
              <a:latin typeface="+mn-lt"/>
              <a:ea typeface="+mj-ea"/>
              <a:cs typeface="+mj-cs"/>
            </a:defRPr>
          </a:pPr>
          <a:endParaRPr lang="fr-FR"/>
        </a:p>
      </c:txPr>
    </c:title>
    <c:autoTitleDeleted val="0"/>
    <c:plotArea>
      <c:layout/>
      <c:barChart>
        <c:barDir val="col"/>
        <c:grouping val="clustered"/>
        <c:varyColors val="0"/>
        <c:ser>
          <c:idx val="0"/>
          <c:order val="0"/>
          <c:spPr>
            <a:solidFill>
              <a:schemeClr val="accent1">
                <a:alpha val="70000"/>
              </a:schemeClr>
            </a:solidFill>
            <a:ln>
              <a:noFill/>
            </a:ln>
            <a:effectLst/>
          </c:spPr>
          <c:invertIfNegative val="0"/>
          <c:dPt>
            <c:idx val="0"/>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1-66E8-4D19-9288-E426796786E0}"/>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3-66E8-4D19-9288-E426796786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Sol_th!$O$23:$O$25</c:f>
              <c:strCache>
                <c:ptCount val="3"/>
                <c:pt idx="0">
                  <c:v>Surface habitat individuel</c:v>
                </c:pt>
                <c:pt idx="1">
                  <c:v>Surface habitat collectif</c:v>
                </c:pt>
                <c:pt idx="2">
                  <c:v>Surface gros consommateurs</c:v>
                </c:pt>
              </c:strCache>
            </c:strRef>
          </c:cat>
          <c:val>
            <c:numRef>
              <c:f>Sol_th!$P$23:$P$25</c:f>
              <c:numCache>
                <c:formatCode>#\ ##0" m²"</c:formatCode>
                <c:ptCount val="3"/>
                <c:pt idx="0">
                  <c:v>28231</c:v>
                </c:pt>
                <c:pt idx="1">
                  <c:v>2898.933333333337</c:v>
                </c:pt>
                <c:pt idx="2">
                  <c:v>1392.471666666667</c:v>
                </c:pt>
              </c:numCache>
            </c:numRef>
          </c:val>
          <c:extLst>
            <c:ext xmlns:c16="http://schemas.microsoft.com/office/drawing/2014/chart" uri="{C3380CC4-5D6E-409C-BE32-E72D297353CC}">
              <c16:uniqueId val="{00000004-66E8-4D19-9288-E426796786E0}"/>
            </c:ext>
          </c:extLst>
        </c:ser>
        <c:dLbls>
          <c:dLblPos val="outEnd"/>
          <c:showLegendKey val="0"/>
          <c:showVal val="1"/>
          <c:showCatName val="0"/>
          <c:showSerName val="0"/>
          <c:showPercent val="0"/>
          <c:showBubbleSize val="0"/>
        </c:dLbls>
        <c:gapWidth val="80"/>
        <c:overlap val="25"/>
        <c:axId val="-357883808"/>
        <c:axId val="-357881488"/>
      </c:barChart>
      <c:catAx>
        <c:axId val="-35788380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fr-FR"/>
          </a:p>
        </c:txPr>
        <c:crossAx val="-357881488"/>
        <c:crosses val="autoZero"/>
        <c:auto val="1"/>
        <c:lblAlgn val="ctr"/>
        <c:lblOffset val="100"/>
        <c:noMultiLvlLbl val="0"/>
      </c:catAx>
      <c:valAx>
        <c:axId val="-357881488"/>
        <c:scaling>
          <c:orientation val="minMax"/>
        </c:scaling>
        <c:delete val="0"/>
        <c:axPos val="l"/>
        <c:majorGridlines>
          <c:spPr>
            <a:ln w="9525" cap="flat" cmpd="sng" algn="ctr">
              <a:solidFill>
                <a:schemeClr val="tx1">
                  <a:lumMod val="5000"/>
                  <a:lumOff val="95000"/>
                </a:schemeClr>
              </a:solidFill>
              <a:round/>
            </a:ln>
            <a:effectLst/>
          </c:spPr>
        </c:majorGridlines>
        <c:numFmt formatCode="#\ ##0&quot; m²&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fr-FR"/>
          </a:p>
        </c:txPr>
        <c:crossAx val="-35788380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fr-FR" sz="1200" b="1"/>
              <a:t>POTENTIEL DE PRODUCTION DE CHALEUR ISSUE DU SOLAIRE THERMIQUE, RÉPARTI PAR COMMUNE (MWH)</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Sol_th!$C$46</c:f>
              <c:strCache>
                <c:ptCount val="1"/>
                <c:pt idx="0">
                  <c:v>Potentiel solaire thermique habitat ind (MWh)</c:v>
                </c:pt>
              </c:strCache>
            </c:strRef>
          </c:tx>
          <c:spPr>
            <a:solidFill>
              <a:schemeClr val="accent1"/>
            </a:solidFill>
            <a:ln>
              <a:noFill/>
            </a:ln>
            <a:effectLst/>
          </c:spPr>
          <c:invertIfNegative val="0"/>
          <c:cat>
            <c:strRef>
              <c:f>Sol_th!$B$47:$B$56</c:f>
              <c:strCache>
                <c:ptCount val="10"/>
                <c:pt idx="0">
                  <c:v>Chevreuse</c:v>
                </c:pt>
                <c:pt idx="1">
                  <c:v>Choisel</c:v>
                </c:pt>
                <c:pt idx="2">
                  <c:v>Dampierre-en-Yvelines</c:v>
                </c:pt>
                <c:pt idx="3">
                  <c:v>Lévis-Saint-Nom</c:v>
                </c:pt>
                <c:pt idx="4">
                  <c:v>Le Mesnil-Saint-Denis</c:v>
                </c:pt>
                <c:pt idx="5">
                  <c:v>Milon-la-Chapelle</c:v>
                </c:pt>
                <c:pt idx="6">
                  <c:v>Saint-Forget</c:v>
                </c:pt>
                <c:pt idx="7">
                  <c:v>Saint-Lambert</c:v>
                </c:pt>
                <c:pt idx="8">
                  <c:v>Saint-Rémy-lès-Chevreuse</c:v>
                </c:pt>
                <c:pt idx="9">
                  <c:v>Senlisse</c:v>
                </c:pt>
              </c:strCache>
            </c:strRef>
          </c:cat>
          <c:val>
            <c:numRef>
              <c:f>Sol_th!$C$47:$C$56</c:f>
              <c:numCache>
                <c:formatCode>General</c:formatCode>
                <c:ptCount val="10"/>
                <c:pt idx="0">
                  <c:v>1499.4</c:v>
                </c:pt>
                <c:pt idx="1">
                  <c:v>229.8</c:v>
                </c:pt>
                <c:pt idx="2">
                  <c:v>392.22</c:v>
                </c:pt>
                <c:pt idx="3">
                  <c:v>709.92</c:v>
                </c:pt>
                <c:pt idx="4">
                  <c:v>2362.56</c:v>
                </c:pt>
                <c:pt idx="5">
                  <c:v>109.92</c:v>
                </c:pt>
                <c:pt idx="6">
                  <c:v>203.28</c:v>
                </c:pt>
                <c:pt idx="7">
                  <c:v>179.22</c:v>
                </c:pt>
                <c:pt idx="8">
                  <c:v>2578.08</c:v>
                </c:pt>
                <c:pt idx="9">
                  <c:v>205.2</c:v>
                </c:pt>
              </c:numCache>
            </c:numRef>
          </c:val>
          <c:extLst>
            <c:ext xmlns:c16="http://schemas.microsoft.com/office/drawing/2014/chart" uri="{C3380CC4-5D6E-409C-BE32-E72D297353CC}">
              <c16:uniqueId val="{00000000-D811-4BFC-9D88-7FFD5D0CFBA9}"/>
            </c:ext>
          </c:extLst>
        </c:ser>
        <c:ser>
          <c:idx val="1"/>
          <c:order val="1"/>
          <c:tx>
            <c:strRef>
              <c:f>Sol_th!$D$46</c:f>
              <c:strCache>
                <c:ptCount val="1"/>
                <c:pt idx="0">
                  <c:v>Potentiel solaire thermique habitat collectif (MWh)</c:v>
                </c:pt>
              </c:strCache>
            </c:strRef>
          </c:tx>
          <c:spPr>
            <a:solidFill>
              <a:schemeClr val="accent2"/>
            </a:solidFill>
            <a:ln>
              <a:noFill/>
            </a:ln>
            <a:effectLst/>
          </c:spPr>
          <c:invertIfNegative val="0"/>
          <c:cat>
            <c:strRef>
              <c:f>Sol_th!$B$47:$B$56</c:f>
              <c:strCache>
                <c:ptCount val="10"/>
                <c:pt idx="0">
                  <c:v>Chevreuse</c:v>
                </c:pt>
                <c:pt idx="1">
                  <c:v>Choisel</c:v>
                </c:pt>
                <c:pt idx="2">
                  <c:v>Dampierre-en-Yvelines</c:v>
                </c:pt>
                <c:pt idx="3">
                  <c:v>Lévis-Saint-Nom</c:v>
                </c:pt>
                <c:pt idx="4">
                  <c:v>Le Mesnil-Saint-Denis</c:v>
                </c:pt>
                <c:pt idx="5">
                  <c:v>Milon-la-Chapelle</c:v>
                </c:pt>
                <c:pt idx="6">
                  <c:v>Saint-Forget</c:v>
                </c:pt>
                <c:pt idx="7">
                  <c:v>Saint-Lambert</c:v>
                </c:pt>
                <c:pt idx="8">
                  <c:v>Saint-Rémy-lès-Chevreuse</c:v>
                </c:pt>
                <c:pt idx="9">
                  <c:v>Senlisse</c:v>
                </c:pt>
              </c:strCache>
            </c:strRef>
          </c:cat>
          <c:val>
            <c:numRef>
              <c:f>Sol_th!$D$47:$D$56</c:f>
              <c:numCache>
                <c:formatCode>General</c:formatCode>
                <c:ptCount val="10"/>
                <c:pt idx="0">
                  <c:v>650.4399999999996</c:v>
                </c:pt>
                <c:pt idx="1">
                  <c:v>12.64</c:v>
                </c:pt>
                <c:pt idx="2">
                  <c:v>47.360000000000007</c:v>
                </c:pt>
                <c:pt idx="3">
                  <c:v>15.72</c:v>
                </c:pt>
                <c:pt idx="4">
                  <c:v>465.16000000000008</c:v>
                </c:pt>
                <c:pt idx="5">
                  <c:v>1.52</c:v>
                </c:pt>
                <c:pt idx="6">
                  <c:v>9.0400000000000009</c:v>
                </c:pt>
                <c:pt idx="7">
                  <c:v>15.92</c:v>
                </c:pt>
                <c:pt idx="8">
                  <c:v>507.2</c:v>
                </c:pt>
                <c:pt idx="9">
                  <c:v>14.36</c:v>
                </c:pt>
              </c:numCache>
            </c:numRef>
          </c:val>
          <c:extLst>
            <c:ext xmlns:c16="http://schemas.microsoft.com/office/drawing/2014/chart" uri="{C3380CC4-5D6E-409C-BE32-E72D297353CC}">
              <c16:uniqueId val="{00000001-D811-4BFC-9D88-7FFD5D0CFBA9}"/>
            </c:ext>
          </c:extLst>
        </c:ser>
        <c:ser>
          <c:idx val="2"/>
          <c:order val="2"/>
          <c:tx>
            <c:strRef>
              <c:f>Sol_th!$E$46</c:f>
              <c:strCache>
                <c:ptCount val="1"/>
                <c:pt idx="0">
                  <c:v>Potentiel solaire thermique gros consommateurs (MWh)</c:v>
                </c:pt>
              </c:strCache>
            </c:strRef>
          </c:tx>
          <c:spPr>
            <a:solidFill>
              <a:schemeClr val="accent3"/>
            </a:solidFill>
            <a:ln>
              <a:noFill/>
            </a:ln>
            <a:effectLst/>
          </c:spPr>
          <c:invertIfNegative val="0"/>
          <c:cat>
            <c:strRef>
              <c:f>Sol_th!$B$47:$B$56</c:f>
              <c:strCache>
                <c:ptCount val="10"/>
                <c:pt idx="0">
                  <c:v>Chevreuse</c:v>
                </c:pt>
                <c:pt idx="1">
                  <c:v>Choisel</c:v>
                </c:pt>
                <c:pt idx="2">
                  <c:v>Dampierre-en-Yvelines</c:v>
                </c:pt>
                <c:pt idx="3">
                  <c:v>Lévis-Saint-Nom</c:v>
                </c:pt>
                <c:pt idx="4">
                  <c:v>Le Mesnil-Saint-Denis</c:v>
                </c:pt>
                <c:pt idx="5">
                  <c:v>Milon-la-Chapelle</c:v>
                </c:pt>
                <c:pt idx="6">
                  <c:v>Saint-Forget</c:v>
                </c:pt>
                <c:pt idx="7">
                  <c:v>Saint-Lambert</c:v>
                </c:pt>
                <c:pt idx="8">
                  <c:v>Saint-Rémy-lès-Chevreuse</c:v>
                </c:pt>
                <c:pt idx="9">
                  <c:v>Senlisse</c:v>
                </c:pt>
              </c:strCache>
            </c:strRef>
          </c:cat>
          <c:val>
            <c:numRef>
              <c:f>Sol_th!$E$47:$E$56</c:f>
              <c:numCache>
                <c:formatCode>General</c:formatCode>
                <c:ptCount val="10"/>
                <c:pt idx="0">
                  <c:v>355.98149999999958</c:v>
                </c:pt>
                <c:pt idx="1">
                  <c:v>0</c:v>
                </c:pt>
                <c:pt idx="2">
                  <c:v>0</c:v>
                </c:pt>
                <c:pt idx="3">
                  <c:v>0</c:v>
                </c:pt>
                <c:pt idx="4">
                  <c:v>267.67950000000002</c:v>
                </c:pt>
                <c:pt idx="5">
                  <c:v>4.04</c:v>
                </c:pt>
                <c:pt idx="6">
                  <c:v>0</c:v>
                </c:pt>
                <c:pt idx="7">
                  <c:v>19.88</c:v>
                </c:pt>
                <c:pt idx="8">
                  <c:v>187.90199999999999</c:v>
                </c:pt>
                <c:pt idx="9">
                  <c:v>0</c:v>
                </c:pt>
              </c:numCache>
            </c:numRef>
          </c:val>
          <c:extLst>
            <c:ext xmlns:c16="http://schemas.microsoft.com/office/drawing/2014/chart" uri="{C3380CC4-5D6E-409C-BE32-E72D297353CC}">
              <c16:uniqueId val="{00000002-D811-4BFC-9D88-7FFD5D0CFBA9}"/>
            </c:ext>
          </c:extLst>
        </c:ser>
        <c:dLbls>
          <c:showLegendKey val="0"/>
          <c:showVal val="0"/>
          <c:showCatName val="0"/>
          <c:showSerName val="0"/>
          <c:showPercent val="0"/>
          <c:showBubbleSize val="0"/>
        </c:dLbls>
        <c:gapWidth val="150"/>
        <c:overlap val="100"/>
        <c:axId val="-358312352"/>
        <c:axId val="-358162192"/>
      </c:barChart>
      <c:catAx>
        <c:axId val="-35831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162192"/>
        <c:crosses val="autoZero"/>
        <c:auto val="1"/>
        <c:lblAlgn val="ctr"/>
        <c:lblOffset val="100"/>
        <c:noMultiLvlLbl val="0"/>
      </c:catAx>
      <c:valAx>
        <c:axId val="-358162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Production (MWh)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312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fr-FR" sz="1200" b="1"/>
              <a:t>POTENTIEL</a:t>
            </a:r>
            <a:r>
              <a:rPr lang="fr-FR" sz="1200" b="1" baseline="0"/>
              <a:t> GLOBAL DE PRODUCTION DE CHALEUR RENOUVELABLE PAR LES PAC (MWH)</a:t>
            </a:r>
            <a:endParaRPr lang="fr-FR"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bar"/>
        <c:grouping val="clustered"/>
        <c:varyColors val="0"/>
        <c:ser>
          <c:idx val="0"/>
          <c:order val="0"/>
          <c:spPr>
            <a:solidFill>
              <a:schemeClr val="accent1"/>
            </a:solidFill>
            <a:ln>
              <a:noFill/>
            </a:ln>
            <a:effectLst/>
          </c:spPr>
          <c:invertIfNegative val="0"/>
          <c:cat>
            <c:strRef>
              <c:f>Aérothermie!$M$22:$M$31</c:f>
              <c:strCache>
                <c:ptCount val="10"/>
                <c:pt idx="0">
                  <c:v>Chevreuse</c:v>
                </c:pt>
                <c:pt idx="1">
                  <c:v>Choisel</c:v>
                </c:pt>
                <c:pt idx="2">
                  <c:v>Dampierre-en-Yvelines</c:v>
                </c:pt>
                <c:pt idx="3">
                  <c:v>Le Mesnil-Saint-Denis</c:v>
                </c:pt>
                <c:pt idx="4">
                  <c:v>Lévis-Saint-Nom</c:v>
                </c:pt>
                <c:pt idx="5">
                  <c:v>Milon-la-Chapelle</c:v>
                </c:pt>
                <c:pt idx="6">
                  <c:v>Saint-Forget</c:v>
                </c:pt>
                <c:pt idx="7">
                  <c:v>Saint-Lambert</c:v>
                </c:pt>
                <c:pt idx="8">
                  <c:v>Saint-Rémy-lès-Chevreuse</c:v>
                </c:pt>
                <c:pt idx="9">
                  <c:v>Senlisse</c:v>
                </c:pt>
              </c:strCache>
            </c:strRef>
          </c:cat>
          <c:val>
            <c:numRef>
              <c:f>Aérothermie!$N$22:$N$31</c:f>
              <c:numCache>
                <c:formatCode>General</c:formatCode>
                <c:ptCount val="10"/>
                <c:pt idx="0">
                  <c:v>25632</c:v>
                </c:pt>
                <c:pt idx="1">
                  <c:v>1255</c:v>
                </c:pt>
                <c:pt idx="2">
                  <c:v>3722</c:v>
                </c:pt>
                <c:pt idx="3">
                  <c:v>30775</c:v>
                </c:pt>
                <c:pt idx="4">
                  <c:v>6213</c:v>
                </c:pt>
                <c:pt idx="5">
                  <c:v>612</c:v>
                </c:pt>
                <c:pt idx="6">
                  <c:v>1627</c:v>
                </c:pt>
                <c:pt idx="7">
                  <c:v>2794</c:v>
                </c:pt>
                <c:pt idx="8">
                  <c:v>45190</c:v>
                </c:pt>
                <c:pt idx="9">
                  <c:v>1715</c:v>
                </c:pt>
              </c:numCache>
            </c:numRef>
          </c:val>
          <c:extLst>
            <c:ext xmlns:c15="http://schemas.microsoft.com/office/drawing/2012/chart" uri="{02D57815-91ED-43cb-92C2-25804820EDAC}">
              <c15:filteredSeriesTitle>
                <c15:tx>
                  <c:strRef>
                    <c:extLst xmlns:c16="http://schemas.microsoft.com/office/drawing/2014/chart">
                      <c:ext uri="{02D57815-91ED-43cb-92C2-25804820EDAC}">
                        <c15:formulaRef>
                          <c15:sqref>Aérothermie!#REF!</c15:sqref>
                        </c15:formulaRef>
                      </c:ext>
                    </c:extLst>
                    <c:strCache>
                      <c:ptCount val="1"/>
                      <c:pt idx="0">
                        <c:v>#REF!</c:v>
                      </c:pt>
                    </c:strCache>
                  </c:strRef>
                </c15:tx>
              </c15:filteredSeriesTitle>
            </c:ext>
            <c:ext xmlns:c16="http://schemas.microsoft.com/office/drawing/2014/chart" uri="{C3380CC4-5D6E-409C-BE32-E72D297353CC}">
              <c16:uniqueId val="{00000000-E75A-4B88-A3A7-312E80230617}"/>
            </c:ext>
          </c:extLst>
        </c:ser>
        <c:dLbls>
          <c:showLegendKey val="0"/>
          <c:showVal val="0"/>
          <c:showCatName val="0"/>
          <c:showSerName val="0"/>
          <c:showPercent val="0"/>
          <c:showBubbleSize val="0"/>
        </c:dLbls>
        <c:gapWidth val="182"/>
        <c:axId val="-358221584"/>
        <c:axId val="-358228960"/>
      </c:barChart>
      <c:catAx>
        <c:axId val="-358221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228960"/>
        <c:crosses val="autoZero"/>
        <c:auto val="1"/>
        <c:lblAlgn val="ctr"/>
        <c:lblOffset val="100"/>
        <c:noMultiLvlLbl val="0"/>
      </c:catAx>
      <c:valAx>
        <c:axId val="-3582289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Production (MWh)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221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r>
              <a:rPr lang="fr-FR" sz="1200" b="1" cap="all" baseline="0">
                <a:solidFill>
                  <a:schemeClr val="tx1">
                    <a:lumMod val="65000"/>
                    <a:lumOff val="35000"/>
                  </a:schemeClr>
                </a:solidFill>
              </a:rPr>
              <a:t>Potentiel bois-énergie (MWh)</a:t>
            </a:r>
          </a:p>
        </c:rich>
      </c:tx>
      <c:overlay val="0"/>
      <c:spPr>
        <a:noFill/>
        <a:ln>
          <a:noFill/>
        </a:ln>
        <a:effectLst/>
      </c:spPr>
      <c:txPr>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C7471D"/>
              </a:solidFill>
              <a:ln>
                <a:noFill/>
              </a:ln>
              <a:effectLst/>
            </c:spPr>
            <c:extLst>
              <c:ext xmlns:c16="http://schemas.microsoft.com/office/drawing/2014/chart" uri="{C3380CC4-5D6E-409C-BE32-E72D297353CC}">
                <c16:uniqueId val="{00000001-D456-4A09-9C76-C7FCB3EC9BE8}"/>
              </c:ext>
            </c:extLst>
          </c:dPt>
          <c:dPt>
            <c:idx val="1"/>
            <c:invertIfNegative val="0"/>
            <c:bubble3D val="0"/>
            <c:spPr>
              <a:solidFill>
                <a:srgbClr val="FFD75A"/>
              </a:solidFill>
              <a:ln>
                <a:noFill/>
              </a:ln>
              <a:effectLst/>
            </c:spPr>
            <c:extLst>
              <c:ext xmlns:c16="http://schemas.microsoft.com/office/drawing/2014/chart" uri="{C3380CC4-5D6E-409C-BE32-E72D297353CC}">
                <c16:uniqueId val="{00000003-D456-4A09-9C76-C7FCB3EC9BE8}"/>
              </c:ext>
            </c:extLst>
          </c:dPt>
          <c:dPt>
            <c:idx val="2"/>
            <c:invertIfNegative val="0"/>
            <c:bubble3D val="0"/>
            <c:spPr>
              <a:solidFill>
                <a:srgbClr val="96C01E"/>
              </a:solidFill>
              <a:ln>
                <a:noFill/>
              </a:ln>
              <a:effectLst/>
            </c:spPr>
            <c:extLst>
              <c:ext xmlns:c16="http://schemas.microsoft.com/office/drawing/2014/chart" uri="{C3380CC4-5D6E-409C-BE32-E72D297353CC}">
                <c16:uniqueId val="{00000005-D456-4A09-9C76-C7FCB3EC9BE8}"/>
              </c:ext>
            </c:extLst>
          </c:dPt>
          <c:cat>
            <c:strRef>
              <c:f>Forêt!$Q$571:$Q$573</c:f>
              <c:strCache>
                <c:ptCount val="3"/>
                <c:pt idx="0">
                  <c:v>Potentiel brut</c:v>
                </c:pt>
                <c:pt idx="1">
                  <c:v>Potentiel net disponible</c:v>
                </c:pt>
                <c:pt idx="2">
                  <c:v>Existant</c:v>
                </c:pt>
              </c:strCache>
            </c:strRef>
          </c:cat>
          <c:val>
            <c:numRef>
              <c:f>Forêt!$R$571:$R$573</c:f>
              <c:numCache>
                <c:formatCode>#,##0</c:formatCode>
                <c:ptCount val="3"/>
                <c:pt idx="0">
                  <c:v>44015.945010000018</c:v>
                </c:pt>
                <c:pt idx="1">
                  <c:v>32043.607967279997</c:v>
                </c:pt>
                <c:pt idx="2" formatCode="General">
                  <c:v>23000</c:v>
                </c:pt>
              </c:numCache>
            </c:numRef>
          </c:val>
          <c:extLst>
            <c:ext xmlns:c16="http://schemas.microsoft.com/office/drawing/2014/chart" uri="{C3380CC4-5D6E-409C-BE32-E72D297353CC}">
              <c16:uniqueId val="{00000006-D456-4A09-9C76-C7FCB3EC9BE8}"/>
            </c:ext>
          </c:extLst>
        </c:ser>
        <c:dLbls>
          <c:showLegendKey val="0"/>
          <c:showVal val="0"/>
          <c:showCatName val="0"/>
          <c:showSerName val="0"/>
          <c:showPercent val="0"/>
          <c:showBubbleSize val="0"/>
        </c:dLbls>
        <c:gapWidth val="219"/>
        <c:overlap val="-27"/>
        <c:axId val="2044491583"/>
        <c:axId val="2044481599"/>
      </c:barChart>
      <c:catAx>
        <c:axId val="2044491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4481599"/>
        <c:crosses val="autoZero"/>
        <c:auto val="1"/>
        <c:lblAlgn val="ctr"/>
        <c:lblOffset val="100"/>
        <c:noMultiLvlLbl val="0"/>
      </c:catAx>
      <c:valAx>
        <c:axId val="2044481599"/>
        <c:scaling>
          <c:orientation val="minMax"/>
          <c:max val="4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Potentiel (MWh)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444915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fr-FR" sz="1200" b="1" cap="all" baseline="0">
                <a:solidFill>
                  <a:schemeClr val="tx1">
                    <a:lumMod val="65000"/>
                    <a:lumOff val="35000"/>
                  </a:schemeClr>
                </a:solidFill>
              </a:rPr>
              <a:t>Potentiel de production bois-énergie </a:t>
            </a:r>
            <a:r>
              <a:rPr lang="fr-FR" sz="1200" b="1" baseline="0">
                <a:solidFill>
                  <a:schemeClr val="tx1">
                    <a:lumMod val="65000"/>
                    <a:lumOff val="35000"/>
                  </a:schemeClr>
                </a:solidFill>
              </a:rPr>
              <a:t>(MWh)</a:t>
            </a:r>
            <a:endParaRPr lang="fr-FR" sz="1200" b="1">
              <a:solidFill>
                <a:schemeClr val="tx1">
                  <a:lumMod val="65000"/>
                  <a:lumOff val="35000"/>
                </a:schemeClr>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Feuil1!$B$3</c:f>
              <c:strCache>
                <c:ptCount val="1"/>
                <c:pt idx="0">
                  <c:v>Forêts</c:v>
                </c:pt>
              </c:strCache>
            </c:strRef>
          </c:tx>
          <c:spPr>
            <a:solidFill>
              <a:srgbClr val="C7471D"/>
            </a:solidFill>
            <a:ln>
              <a:noFill/>
            </a:ln>
            <a:effectLst/>
          </c:spPr>
          <c:invertIfNegative val="0"/>
          <c:cat>
            <c:strRef>
              <c:f>Feuil1!$A$4:$A$13</c:f>
              <c:strCache>
                <c:ptCount val="10"/>
                <c:pt idx="0">
                  <c:v>Chevreuse</c:v>
                </c:pt>
                <c:pt idx="1">
                  <c:v>Choisel</c:v>
                </c:pt>
                <c:pt idx="2">
                  <c:v>Dampierre-en-Yvelines</c:v>
                </c:pt>
                <c:pt idx="3">
                  <c:v>Le Mesnil-Saint-Denis</c:v>
                </c:pt>
                <c:pt idx="4">
                  <c:v>Lévis-Saint-Nom</c:v>
                </c:pt>
                <c:pt idx="5">
                  <c:v>Milon-la-Chapelle</c:v>
                </c:pt>
                <c:pt idx="6">
                  <c:v>Saint-Forget</c:v>
                </c:pt>
                <c:pt idx="7">
                  <c:v>Saint-Lambert</c:v>
                </c:pt>
                <c:pt idx="8">
                  <c:v>Saint-Rémy-lès-Chevreuse</c:v>
                </c:pt>
                <c:pt idx="9">
                  <c:v>Senlisse</c:v>
                </c:pt>
              </c:strCache>
            </c:strRef>
          </c:cat>
          <c:val>
            <c:numRef>
              <c:f>Feuil1!$B$4:$B$13</c:f>
              <c:numCache>
                <c:formatCode>_-* #\ ##0_-;\-* #\ ##0_-;_-* "-"??_-;_-@_-</c:formatCode>
                <c:ptCount val="10"/>
                <c:pt idx="0">
                  <c:v>5438.2759267199999</c:v>
                </c:pt>
                <c:pt idx="1">
                  <c:v>2137.283049719998</c:v>
                </c:pt>
                <c:pt idx="2">
                  <c:v>5296.0875895200006</c:v>
                </c:pt>
                <c:pt idx="3">
                  <c:v>1137.2841152399999</c:v>
                </c:pt>
                <c:pt idx="4">
                  <c:v>2937.9421890000008</c:v>
                </c:pt>
                <c:pt idx="5">
                  <c:v>1592.18801196</c:v>
                </c:pt>
                <c:pt idx="6">
                  <c:v>2584.6078986000011</c:v>
                </c:pt>
                <c:pt idx="7">
                  <c:v>2984.2746460799999</c:v>
                </c:pt>
                <c:pt idx="8">
                  <c:v>3796.754412360001</c:v>
                </c:pt>
                <c:pt idx="9">
                  <c:v>4138.9101280800014</c:v>
                </c:pt>
              </c:numCache>
            </c:numRef>
          </c:val>
          <c:extLst>
            <c:ext xmlns:c16="http://schemas.microsoft.com/office/drawing/2014/chart" uri="{C3380CC4-5D6E-409C-BE32-E72D297353CC}">
              <c16:uniqueId val="{00000000-B066-4E41-9A63-962C285208FC}"/>
            </c:ext>
          </c:extLst>
        </c:ser>
        <c:ser>
          <c:idx val="1"/>
          <c:order val="1"/>
          <c:tx>
            <c:strRef>
              <c:f>Feuil1!$C$3</c:f>
              <c:strCache>
                <c:ptCount val="1"/>
                <c:pt idx="0">
                  <c:v>Bois</c:v>
                </c:pt>
              </c:strCache>
            </c:strRef>
          </c:tx>
          <c:spPr>
            <a:solidFill>
              <a:srgbClr val="FFD75A"/>
            </a:solidFill>
            <a:ln>
              <a:noFill/>
            </a:ln>
            <a:effectLst/>
          </c:spPr>
          <c:invertIfNegative val="0"/>
          <c:cat>
            <c:strRef>
              <c:f>Feuil1!$A$4:$A$13</c:f>
              <c:strCache>
                <c:ptCount val="10"/>
                <c:pt idx="0">
                  <c:v>Chevreuse</c:v>
                </c:pt>
                <c:pt idx="1">
                  <c:v>Choisel</c:v>
                </c:pt>
                <c:pt idx="2">
                  <c:v>Dampierre-en-Yvelines</c:v>
                </c:pt>
                <c:pt idx="3">
                  <c:v>Le Mesnil-Saint-Denis</c:v>
                </c:pt>
                <c:pt idx="4">
                  <c:v>Lévis-Saint-Nom</c:v>
                </c:pt>
                <c:pt idx="5">
                  <c:v>Milon-la-Chapelle</c:v>
                </c:pt>
                <c:pt idx="6">
                  <c:v>Saint-Forget</c:v>
                </c:pt>
                <c:pt idx="7">
                  <c:v>Saint-Lambert</c:v>
                </c:pt>
                <c:pt idx="8">
                  <c:v>Saint-Rémy-lès-Chevreuse</c:v>
                </c:pt>
                <c:pt idx="9">
                  <c:v>Senlisse</c:v>
                </c:pt>
              </c:strCache>
            </c:strRef>
          </c:cat>
          <c:val>
            <c:numRef>
              <c:f>Feuil1!$C$4:$C$13</c:f>
              <c:numCache>
                <c:formatCode>_-* #\ ##0_-;\-* #\ ##0_-;_-* "-"??_-;_-@_-</c:formatCode>
                <c:ptCount val="10"/>
                <c:pt idx="0">
                  <c:v>147.11831971199999</c:v>
                </c:pt>
                <c:pt idx="1">
                  <c:v>24.025686048000001</c:v>
                </c:pt>
                <c:pt idx="2">
                  <c:v>37.798723871999997</c:v>
                </c:pt>
                <c:pt idx="3">
                  <c:v>88.963606368000015</c:v>
                </c:pt>
                <c:pt idx="4">
                  <c:v>17.866596384000001</c:v>
                </c:pt>
                <c:pt idx="5">
                  <c:v>21.237679008000001</c:v>
                </c:pt>
                <c:pt idx="6">
                  <c:v>7.7639627519999976</c:v>
                </c:pt>
                <c:pt idx="7">
                  <c:v>17.92745136000001</c:v>
                </c:pt>
                <c:pt idx="8">
                  <c:v>180.73007971199999</c:v>
                </c:pt>
                <c:pt idx="9">
                  <c:v>18.59897894400001</c:v>
                </c:pt>
              </c:numCache>
            </c:numRef>
          </c:val>
          <c:extLst>
            <c:ext xmlns:c16="http://schemas.microsoft.com/office/drawing/2014/chart" uri="{C3380CC4-5D6E-409C-BE32-E72D297353CC}">
              <c16:uniqueId val="{00000001-B066-4E41-9A63-962C285208FC}"/>
            </c:ext>
          </c:extLst>
        </c:ser>
        <c:ser>
          <c:idx val="2"/>
          <c:order val="2"/>
          <c:tx>
            <c:strRef>
              <c:f>Feuil1!$D$3</c:f>
              <c:strCache>
                <c:ptCount val="1"/>
                <c:pt idx="0">
                  <c:v>Haies</c:v>
                </c:pt>
              </c:strCache>
            </c:strRef>
          </c:tx>
          <c:spPr>
            <a:solidFill>
              <a:srgbClr val="96C01E"/>
            </a:solidFill>
            <a:ln>
              <a:noFill/>
            </a:ln>
            <a:effectLst/>
          </c:spPr>
          <c:invertIfNegative val="0"/>
          <c:cat>
            <c:strRef>
              <c:f>Feuil1!$A$4:$A$13</c:f>
              <c:strCache>
                <c:ptCount val="10"/>
                <c:pt idx="0">
                  <c:v>Chevreuse</c:v>
                </c:pt>
                <c:pt idx="1">
                  <c:v>Choisel</c:v>
                </c:pt>
                <c:pt idx="2">
                  <c:v>Dampierre-en-Yvelines</c:v>
                </c:pt>
                <c:pt idx="3">
                  <c:v>Le Mesnil-Saint-Denis</c:v>
                </c:pt>
                <c:pt idx="4">
                  <c:v>Lévis-Saint-Nom</c:v>
                </c:pt>
                <c:pt idx="5">
                  <c:v>Milon-la-Chapelle</c:v>
                </c:pt>
                <c:pt idx="6">
                  <c:v>Saint-Forget</c:v>
                </c:pt>
                <c:pt idx="7">
                  <c:v>Saint-Lambert</c:v>
                </c:pt>
                <c:pt idx="8">
                  <c:v>Saint-Rémy-lès-Chevreuse</c:v>
                </c:pt>
                <c:pt idx="9">
                  <c:v>Senlisse</c:v>
                </c:pt>
              </c:strCache>
            </c:strRef>
          </c:cat>
          <c:val>
            <c:numRef>
              <c:f>Feuil1!$D$4:$D$13</c:f>
              <c:numCache>
                <c:formatCode>_-* #\ ##0_-;\-* #\ ##0_-;_-* "-"??_-;_-@_-</c:formatCode>
                <c:ptCount val="10"/>
                <c:pt idx="0">
                  <c:v>59.51146026846218</c:v>
                </c:pt>
                <c:pt idx="1">
                  <c:v>47.96620945986286</c:v>
                </c:pt>
                <c:pt idx="2">
                  <c:v>67.740310083160466</c:v>
                </c:pt>
                <c:pt idx="3">
                  <c:v>88.357227889215395</c:v>
                </c:pt>
                <c:pt idx="4">
                  <c:v>73.505410036492265</c:v>
                </c:pt>
                <c:pt idx="5">
                  <c:v>16.434979325693732</c:v>
                </c:pt>
                <c:pt idx="6">
                  <c:v>32.542619192469623</c:v>
                </c:pt>
                <c:pt idx="7">
                  <c:v>30.421853547243948</c:v>
                </c:pt>
                <c:pt idx="8">
                  <c:v>40.468291833533009</c:v>
                </c:pt>
                <c:pt idx="9">
                  <c:v>47.518682443216008</c:v>
                </c:pt>
              </c:numCache>
            </c:numRef>
          </c:val>
          <c:extLst>
            <c:ext xmlns:c16="http://schemas.microsoft.com/office/drawing/2014/chart" uri="{C3380CC4-5D6E-409C-BE32-E72D297353CC}">
              <c16:uniqueId val="{00000002-B066-4E41-9A63-962C285208FC}"/>
            </c:ext>
          </c:extLst>
        </c:ser>
        <c:dLbls>
          <c:showLegendKey val="0"/>
          <c:showVal val="0"/>
          <c:showCatName val="0"/>
          <c:showSerName val="0"/>
          <c:showPercent val="0"/>
          <c:showBubbleSize val="0"/>
        </c:dLbls>
        <c:gapWidth val="150"/>
        <c:overlap val="100"/>
        <c:axId val="-358529856"/>
        <c:axId val="-358528080"/>
      </c:barChart>
      <c:catAx>
        <c:axId val="-358529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528080"/>
        <c:crosses val="autoZero"/>
        <c:auto val="1"/>
        <c:lblAlgn val="ctr"/>
        <c:lblOffset val="100"/>
        <c:noMultiLvlLbl val="0"/>
      </c:catAx>
      <c:valAx>
        <c:axId val="-35852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Production (MWh)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52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r>
              <a:rPr lang="fr-FR" sz="1200" b="1" cap="all" baseline="0">
                <a:solidFill>
                  <a:schemeClr val="tx1">
                    <a:lumMod val="65000"/>
                    <a:lumOff val="35000"/>
                  </a:schemeClr>
                </a:solidFill>
              </a:rPr>
              <a:t>Potentiel de production de biogaz par type de GISEMENT</a:t>
            </a:r>
          </a:p>
        </c:rich>
      </c:tx>
      <c:overlay val="0"/>
      <c:spPr>
        <a:noFill/>
        <a:ln>
          <a:noFill/>
        </a:ln>
        <a:effectLst/>
      </c:spPr>
      <c:txPr>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dPt>
            <c:idx val="0"/>
            <c:bubble3D val="0"/>
            <c:spPr>
              <a:solidFill>
                <a:srgbClr val="C7471D"/>
              </a:solidFill>
              <a:ln w="19050">
                <a:solidFill>
                  <a:schemeClr val="lt1"/>
                </a:solidFill>
              </a:ln>
              <a:effectLst/>
            </c:spPr>
            <c:extLst>
              <c:ext xmlns:c16="http://schemas.microsoft.com/office/drawing/2014/chart" uri="{C3380CC4-5D6E-409C-BE32-E72D297353CC}">
                <c16:uniqueId val="{00000001-8B22-40D7-9DF4-F321CE438359}"/>
              </c:ext>
            </c:extLst>
          </c:dPt>
          <c:dPt>
            <c:idx val="1"/>
            <c:bubble3D val="0"/>
            <c:spPr>
              <a:solidFill>
                <a:srgbClr val="EC694A"/>
              </a:solidFill>
              <a:ln w="19050">
                <a:solidFill>
                  <a:schemeClr val="lt1"/>
                </a:solidFill>
              </a:ln>
              <a:effectLst/>
            </c:spPr>
            <c:extLst>
              <c:ext xmlns:c16="http://schemas.microsoft.com/office/drawing/2014/chart" uri="{C3380CC4-5D6E-409C-BE32-E72D297353CC}">
                <c16:uniqueId val="{00000003-8B22-40D7-9DF4-F321CE438359}"/>
              </c:ext>
            </c:extLst>
          </c:dPt>
          <c:dPt>
            <c:idx val="2"/>
            <c:bubble3D val="0"/>
            <c:spPr>
              <a:solidFill>
                <a:srgbClr val="96C01E"/>
              </a:solidFill>
              <a:ln w="19050">
                <a:solidFill>
                  <a:schemeClr val="lt1"/>
                </a:solidFill>
              </a:ln>
              <a:effectLst/>
            </c:spPr>
            <c:extLst>
              <c:ext xmlns:c16="http://schemas.microsoft.com/office/drawing/2014/chart" uri="{C3380CC4-5D6E-409C-BE32-E72D297353CC}">
                <c16:uniqueId val="{00000005-8B22-40D7-9DF4-F321CE438359}"/>
              </c:ext>
            </c:extLst>
          </c:dPt>
          <c:dPt>
            <c:idx val="3"/>
            <c:bubble3D val="0"/>
            <c:spPr>
              <a:solidFill>
                <a:srgbClr val="FFD75A"/>
              </a:solidFill>
              <a:ln w="19050">
                <a:solidFill>
                  <a:schemeClr val="lt1"/>
                </a:solidFill>
              </a:ln>
              <a:effectLst/>
            </c:spPr>
            <c:extLst>
              <c:ext xmlns:c16="http://schemas.microsoft.com/office/drawing/2014/chart" uri="{C3380CC4-5D6E-409C-BE32-E72D297353CC}">
                <c16:uniqueId val="{00000007-8B22-40D7-9DF4-F321CE438359}"/>
              </c:ext>
            </c:extLst>
          </c:dPt>
          <c:dPt>
            <c:idx val="4"/>
            <c:bubble3D val="0"/>
            <c:spPr>
              <a:solidFill>
                <a:srgbClr val="74C5C9"/>
              </a:solidFill>
              <a:ln w="19050">
                <a:solidFill>
                  <a:schemeClr val="lt1"/>
                </a:solidFill>
              </a:ln>
              <a:effectLst/>
            </c:spPr>
            <c:extLst>
              <c:ext xmlns:c16="http://schemas.microsoft.com/office/drawing/2014/chart" uri="{C3380CC4-5D6E-409C-BE32-E72D297353CC}">
                <c16:uniqueId val="{00000009-8B22-40D7-9DF4-F321CE438359}"/>
              </c:ext>
            </c:extLst>
          </c:dPt>
          <c:dPt>
            <c:idx val="5"/>
            <c:bubble3D val="0"/>
            <c:spPr>
              <a:solidFill>
                <a:srgbClr val="2B4594"/>
              </a:solidFill>
              <a:ln w="19050">
                <a:solidFill>
                  <a:schemeClr val="lt1"/>
                </a:solidFill>
              </a:ln>
              <a:effectLst/>
            </c:spPr>
            <c:extLst>
              <c:ext xmlns:c16="http://schemas.microsoft.com/office/drawing/2014/chart" uri="{C3380CC4-5D6E-409C-BE32-E72D297353CC}">
                <c16:uniqueId val="{0000000B-8B22-40D7-9DF4-F321CE438359}"/>
              </c:ext>
            </c:extLst>
          </c:dPt>
          <c:dPt>
            <c:idx val="6"/>
            <c:bubble3D val="0"/>
            <c:spPr>
              <a:solidFill>
                <a:schemeClr val="accent3"/>
              </a:solidFill>
              <a:ln w="19050">
                <a:solidFill>
                  <a:schemeClr val="lt1"/>
                </a:solidFill>
              </a:ln>
              <a:effectLst/>
            </c:spPr>
            <c:extLst>
              <c:ext xmlns:c16="http://schemas.microsoft.com/office/drawing/2014/chart" uri="{C3380CC4-5D6E-409C-BE32-E72D297353CC}">
                <c16:uniqueId val="{0000000D-8B22-40D7-9DF4-F321CE438359}"/>
              </c:ext>
            </c:extLst>
          </c:dPt>
          <c:dLbls>
            <c:dLbl>
              <c:idx val="0"/>
              <c:layout>
                <c:manualLayout>
                  <c:x val="2.9191663542057198E-3"/>
                  <c:y val="1.8001572618956602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B22-40D7-9DF4-F321CE438359}"/>
                </c:ext>
              </c:extLst>
            </c:dLbl>
            <c:dLbl>
              <c:idx val="1"/>
              <c:layout>
                <c:manualLayout>
                  <c:x val="-2.3550259342582199E-2"/>
                  <c:y val="-1.6274695032053001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B22-40D7-9DF4-F321CE438359}"/>
                </c:ext>
              </c:extLst>
            </c:dLbl>
            <c:dLbl>
              <c:idx val="2"/>
              <c:layout>
                <c:manualLayout>
                  <c:x val="1.0125296837895301E-3"/>
                  <c:y val="1.6776786396845999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8B22-40D7-9DF4-F321CE438359}"/>
                </c:ext>
              </c:extLst>
            </c:dLbl>
            <c:dLbl>
              <c:idx val="3"/>
              <c:layout>
                <c:manualLayout>
                  <c:x val="-2.3152652793400799E-2"/>
                  <c:y val="2.05551672545786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8B22-40D7-9DF4-F321CE438359}"/>
                </c:ext>
              </c:extLst>
            </c:dLbl>
            <c:dLbl>
              <c:idx val="4"/>
              <c:layout>
                <c:manualLayout>
                  <c:x val="-2.0969097612798401E-2"/>
                  <c:y val="1.3222831369379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8B22-40D7-9DF4-F321CE438359}"/>
                </c:ext>
              </c:extLst>
            </c:dLbl>
            <c:dLbl>
              <c:idx val="5"/>
              <c:layout>
                <c:manualLayout>
                  <c:x val="1.38248343957005E-3"/>
                  <c:y val="1.2007054943374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8B22-40D7-9DF4-F321CE43835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Synthèse!$A$60:$A$66</c:f>
              <c:strCache>
                <c:ptCount val="7"/>
                <c:pt idx="0">
                  <c:v>CIMSE</c:v>
                </c:pt>
                <c:pt idx="1">
                  <c:v>Cultures</c:v>
                </c:pt>
                <c:pt idx="2">
                  <c:v>Cheptels</c:v>
                </c:pt>
                <c:pt idx="3">
                  <c:v>Biodéchets</c:v>
                </c:pt>
                <c:pt idx="4">
                  <c:v>Herbes</c:v>
                </c:pt>
                <c:pt idx="5">
                  <c:v>Algues, silos</c:v>
                </c:pt>
                <c:pt idx="6">
                  <c:v>IAA</c:v>
                </c:pt>
              </c:strCache>
            </c:strRef>
          </c:cat>
          <c:val>
            <c:numRef>
              <c:f>Synthèse!$B$60:$B$66</c:f>
              <c:numCache>
                <c:formatCode>_(* #,##0.00_);_(* \(#,##0.00\);_(* "-"??_);_(@_)</c:formatCode>
                <c:ptCount val="7"/>
                <c:pt idx="0">
                  <c:v>8413.0606501134371</c:v>
                </c:pt>
                <c:pt idx="1">
                  <c:v>3479.6373769463812</c:v>
                </c:pt>
                <c:pt idx="2">
                  <c:v>2059.1979601826001</c:v>
                </c:pt>
                <c:pt idx="3">
                  <c:v>1898.8128572125149</c:v>
                </c:pt>
                <c:pt idx="4">
                  <c:v>1347.980168002561</c:v>
                </c:pt>
                <c:pt idx="5">
                  <c:v>347.89686289928272</c:v>
                </c:pt>
                <c:pt idx="6">
                  <c:v>140.68862999999999</c:v>
                </c:pt>
              </c:numCache>
            </c:numRef>
          </c:val>
          <c:extLst>
            <c:ext xmlns:c16="http://schemas.microsoft.com/office/drawing/2014/chart" uri="{C3380CC4-5D6E-409C-BE32-E72D297353CC}">
              <c16:uniqueId val="{0000000E-8B22-40D7-9DF4-F321CE438359}"/>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POTENTIEL</a:t>
            </a:r>
            <a:r>
              <a:rPr lang="fr-FR" sz="1200" baseline="0"/>
              <a:t> DE PRODUCTION DE BIOGAZ PAR METHANISATION (MWh)</a:t>
            </a:r>
            <a:endParaRPr lang="fr-F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Biogaz!$I$13</c:f>
              <c:strCache>
                <c:ptCount val="1"/>
                <c:pt idx="0">
                  <c:v>CIMSE</c:v>
                </c:pt>
              </c:strCache>
            </c:strRef>
          </c:tx>
          <c:spPr>
            <a:solidFill>
              <a:schemeClr val="accent1"/>
            </a:solidFill>
            <a:ln>
              <a:noFill/>
            </a:ln>
            <a:effectLst/>
          </c:spPr>
          <c:invertIfNegative val="0"/>
          <c:cat>
            <c:numRef>
              <c:f>Biogaz!$J$12</c:f>
              <c:numCache>
                <c:formatCode>General</c:formatCode>
                <c:ptCount val="1"/>
                <c:pt idx="0">
                  <c:v>2050</c:v>
                </c:pt>
              </c:numCache>
            </c:numRef>
          </c:cat>
          <c:val>
            <c:numRef>
              <c:f>Biogaz!$J$13</c:f>
              <c:numCache>
                <c:formatCode>0</c:formatCode>
                <c:ptCount val="1"/>
                <c:pt idx="0">
                  <c:v>8413.0606501134371</c:v>
                </c:pt>
              </c:numCache>
            </c:numRef>
          </c:val>
          <c:extLst>
            <c:ext xmlns:c16="http://schemas.microsoft.com/office/drawing/2014/chart" uri="{C3380CC4-5D6E-409C-BE32-E72D297353CC}">
              <c16:uniqueId val="{00000000-EA9A-495D-8396-6A1F11977B67}"/>
            </c:ext>
          </c:extLst>
        </c:ser>
        <c:ser>
          <c:idx val="1"/>
          <c:order val="1"/>
          <c:tx>
            <c:strRef>
              <c:f>Biogaz!$I$14</c:f>
              <c:strCache>
                <c:ptCount val="1"/>
                <c:pt idx="0">
                  <c:v>Cultures</c:v>
                </c:pt>
              </c:strCache>
            </c:strRef>
          </c:tx>
          <c:spPr>
            <a:solidFill>
              <a:schemeClr val="accent2"/>
            </a:solidFill>
            <a:ln>
              <a:noFill/>
            </a:ln>
            <a:effectLst/>
          </c:spPr>
          <c:invertIfNegative val="0"/>
          <c:cat>
            <c:numRef>
              <c:f>Biogaz!$J$12</c:f>
              <c:numCache>
                <c:formatCode>General</c:formatCode>
                <c:ptCount val="1"/>
                <c:pt idx="0">
                  <c:v>2050</c:v>
                </c:pt>
              </c:numCache>
            </c:numRef>
          </c:cat>
          <c:val>
            <c:numRef>
              <c:f>Biogaz!$J$14</c:f>
              <c:numCache>
                <c:formatCode>0</c:formatCode>
                <c:ptCount val="1"/>
                <c:pt idx="0">
                  <c:v>3479.6373769463812</c:v>
                </c:pt>
              </c:numCache>
            </c:numRef>
          </c:val>
          <c:extLst>
            <c:ext xmlns:c16="http://schemas.microsoft.com/office/drawing/2014/chart" uri="{C3380CC4-5D6E-409C-BE32-E72D297353CC}">
              <c16:uniqueId val="{00000001-EA9A-495D-8396-6A1F11977B67}"/>
            </c:ext>
          </c:extLst>
        </c:ser>
        <c:ser>
          <c:idx val="2"/>
          <c:order val="2"/>
          <c:tx>
            <c:strRef>
              <c:f>Biogaz!$I$15</c:f>
              <c:strCache>
                <c:ptCount val="1"/>
                <c:pt idx="0">
                  <c:v>Cheptels</c:v>
                </c:pt>
              </c:strCache>
            </c:strRef>
          </c:tx>
          <c:spPr>
            <a:solidFill>
              <a:schemeClr val="accent3"/>
            </a:solidFill>
            <a:ln>
              <a:noFill/>
            </a:ln>
            <a:effectLst/>
          </c:spPr>
          <c:invertIfNegative val="0"/>
          <c:cat>
            <c:numRef>
              <c:f>Biogaz!$J$12</c:f>
              <c:numCache>
                <c:formatCode>General</c:formatCode>
                <c:ptCount val="1"/>
                <c:pt idx="0">
                  <c:v>2050</c:v>
                </c:pt>
              </c:numCache>
            </c:numRef>
          </c:cat>
          <c:val>
            <c:numRef>
              <c:f>Biogaz!$J$15</c:f>
              <c:numCache>
                <c:formatCode>0</c:formatCode>
                <c:ptCount val="1"/>
                <c:pt idx="0">
                  <c:v>2059.1979601826001</c:v>
                </c:pt>
              </c:numCache>
            </c:numRef>
          </c:val>
          <c:extLst>
            <c:ext xmlns:c16="http://schemas.microsoft.com/office/drawing/2014/chart" uri="{C3380CC4-5D6E-409C-BE32-E72D297353CC}">
              <c16:uniqueId val="{00000002-EA9A-495D-8396-6A1F11977B67}"/>
            </c:ext>
          </c:extLst>
        </c:ser>
        <c:ser>
          <c:idx val="3"/>
          <c:order val="3"/>
          <c:tx>
            <c:strRef>
              <c:f>Biogaz!$I$16</c:f>
              <c:strCache>
                <c:ptCount val="1"/>
                <c:pt idx="0">
                  <c:v>Biodéchets</c:v>
                </c:pt>
              </c:strCache>
            </c:strRef>
          </c:tx>
          <c:spPr>
            <a:solidFill>
              <a:schemeClr val="accent4"/>
            </a:solidFill>
            <a:ln>
              <a:noFill/>
            </a:ln>
            <a:effectLst/>
          </c:spPr>
          <c:invertIfNegative val="0"/>
          <c:cat>
            <c:numRef>
              <c:f>Biogaz!$J$12</c:f>
              <c:numCache>
                <c:formatCode>General</c:formatCode>
                <c:ptCount val="1"/>
                <c:pt idx="0">
                  <c:v>2050</c:v>
                </c:pt>
              </c:numCache>
            </c:numRef>
          </c:cat>
          <c:val>
            <c:numRef>
              <c:f>Biogaz!$J$16</c:f>
              <c:numCache>
                <c:formatCode>0</c:formatCode>
                <c:ptCount val="1"/>
                <c:pt idx="0">
                  <c:v>1898.8128572125149</c:v>
                </c:pt>
              </c:numCache>
            </c:numRef>
          </c:val>
          <c:extLst>
            <c:ext xmlns:c16="http://schemas.microsoft.com/office/drawing/2014/chart" uri="{C3380CC4-5D6E-409C-BE32-E72D297353CC}">
              <c16:uniqueId val="{00000003-EA9A-495D-8396-6A1F11977B67}"/>
            </c:ext>
          </c:extLst>
        </c:ser>
        <c:ser>
          <c:idx val="4"/>
          <c:order val="4"/>
          <c:tx>
            <c:strRef>
              <c:f>Biogaz!$I$17</c:f>
              <c:strCache>
                <c:ptCount val="1"/>
                <c:pt idx="0">
                  <c:v>Herbes</c:v>
                </c:pt>
              </c:strCache>
            </c:strRef>
          </c:tx>
          <c:spPr>
            <a:solidFill>
              <a:schemeClr val="accent5"/>
            </a:solidFill>
            <a:ln>
              <a:noFill/>
            </a:ln>
            <a:effectLst/>
          </c:spPr>
          <c:invertIfNegative val="0"/>
          <c:cat>
            <c:numRef>
              <c:f>Biogaz!$J$12</c:f>
              <c:numCache>
                <c:formatCode>General</c:formatCode>
                <c:ptCount val="1"/>
                <c:pt idx="0">
                  <c:v>2050</c:v>
                </c:pt>
              </c:numCache>
            </c:numRef>
          </c:cat>
          <c:val>
            <c:numRef>
              <c:f>Biogaz!$J$17</c:f>
              <c:numCache>
                <c:formatCode>0</c:formatCode>
                <c:ptCount val="1"/>
                <c:pt idx="0">
                  <c:v>1347.980168002561</c:v>
                </c:pt>
              </c:numCache>
            </c:numRef>
          </c:val>
          <c:extLst>
            <c:ext xmlns:c16="http://schemas.microsoft.com/office/drawing/2014/chart" uri="{C3380CC4-5D6E-409C-BE32-E72D297353CC}">
              <c16:uniqueId val="{00000004-EA9A-495D-8396-6A1F11977B67}"/>
            </c:ext>
          </c:extLst>
        </c:ser>
        <c:ser>
          <c:idx val="5"/>
          <c:order val="5"/>
          <c:tx>
            <c:strRef>
              <c:f>Biogaz!$I$18</c:f>
              <c:strCache>
                <c:ptCount val="1"/>
                <c:pt idx="0">
                  <c:v>Algues, silos</c:v>
                </c:pt>
              </c:strCache>
            </c:strRef>
          </c:tx>
          <c:spPr>
            <a:solidFill>
              <a:schemeClr val="accent6"/>
            </a:solidFill>
            <a:ln>
              <a:noFill/>
            </a:ln>
            <a:effectLst/>
          </c:spPr>
          <c:invertIfNegative val="0"/>
          <c:cat>
            <c:numRef>
              <c:f>Biogaz!$J$12</c:f>
              <c:numCache>
                <c:formatCode>General</c:formatCode>
                <c:ptCount val="1"/>
                <c:pt idx="0">
                  <c:v>2050</c:v>
                </c:pt>
              </c:numCache>
            </c:numRef>
          </c:cat>
          <c:val>
            <c:numRef>
              <c:f>Biogaz!$J$18</c:f>
              <c:numCache>
                <c:formatCode>0</c:formatCode>
                <c:ptCount val="1"/>
                <c:pt idx="0">
                  <c:v>347.89686289928272</c:v>
                </c:pt>
              </c:numCache>
            </c:numRef>
          </c:val>
          <c:extLst>
            <c:ext xmlns:c16="http://schemas.microsoft.com/office/drawing/2014/chart" uri="{C3380CC4-5D6E-409C-BE32-E72D297353CC}">
              <c16:uniqueId val="{00000005-EA9A-495D-8396-6A1F11977B67}"/>
            </c:ext>
          </c:extLst>
        </c:ser>
        <c:ser>
          <c:idx val="6"/>
          <c:order val="6"/>
          <c:tx>
            <c:strRef>
              <c:f>Biogaz!$I$19</c:f>
              <c:strCache>
                <c:ptCount val="1"/>
                <c:pt idx="0">
                  <c:v>IAA</c:v>
                </c:pt>
              </c:strCache>
            </c:strRef>
          </c:tx>
          <c:spPr>
            <a:solidFill>
              <a:schemeClr val="accent1">
                <a:lumMod val="60000"/>
              </a:schemeClr>
            </a:solidFill>
            <a:ln>
              <a:noFill/>
            </a:ln>
            <a:effectLst/>
          </c:spPr>
          <c:invertIfNegative val="0"/>
          <c:cat>
            <c:numRef>
              <c:f>Biogaz!$J$12</c:f>
              <c:numCache>
                <c:formatCode>General</c:formatCode>
                <c:ptCount val="1"/>
                <c:pt idx="0">
                  <c:v>2050</c:v>
                </c:pt>
              </c:numCache>
            </c:numRef>
          </c:cat>
          <c:val>
            <c:numRef>
              <c:f>Biogaz!$J$19</c:f>
              <c:numCache>
                <c:formatCode>0</c:formatCode>
                <c:ptCount val="1"/>
                <c:pt idx="0">
                  <c:v>140.68862999999999</c:v>
                </c:pt>
              </c:numCache>
            </c:numRef>
          </c:val>
          <c:extLst>
            <c:ext xmlns:c16="http://schemas.microsoft.com/office/drawing/2014/chart" uri="{C3380CC4-5D6E-409C-BE32-E72D297353CC}">
              <c16:uniqueId val="{00000006-EA9A-495D-8396-6A1F11977B67}"/>
            </c:ext>
          </c:extLst>
        </c:ser>
        <c:dLbls>
          <c:showLegendKey val="0"/>
          <c:showVal val="0"/>
          <c:showCatName val="0"/>
          <c:showSerName val="0"/>
          <c:showPercent val="0"/>
          <c:showBubbleSize val="0"/>
        </c:dLbls>
        <c:gapWidth val="150"/>
        <c:overlap val="100"/>
        <c:axId val="-357817072"/>
        <c:axId val="-357815024"/>
      </c:barChart>
      <c:catAx>
        <c:axId val="-35781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7815024"/>
        <c:crosses val="autoZero"/>
        <c:auto val="1"/>
        <c:lblAlgn val="ctr"/>
        <c:lblOffset val="100"/>
        <c:noMultiLvlLbl val="0"/>
      </c:catAx>
      <c:valAx>
        <c:axId val="-35781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Production (MWh)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781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Répartition du potentiel valorisable </a:t>
            </a:r>
            <a:br>
              <a:rPr lang="fr-FR" sz="1200"/>
            </a:br>
            <a:r>
              <a:rPr lang="fr-FR" sz="1200"/>
              <a:t>de récupération de chaleur fatale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2D9-4AB8-B966-26C95C78083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2D9-4AB8-B966-26C95C780838}"/>
              </c:ext>
            </c:extLst>
          </c:dPt>
          <c:dLbls>
            <c:dLbl>
              <c:idx val="0"/>
              <c:layout>
                <c:manualLayout>
                  <c:x val="0.16944444444444434"/>
                  <c:y val="-0.1064814814814814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2D9-4AB8-B966-26C95C780838}"/>
                </c:ext>
              </c:extLst>
            </c:dLbl>
            <c:dLbl>
              <c:idx val="1"/>
              <c:layout>
                <c:manualLayout>
                  <c:x val="-0.1736111111111111"/>
                  <c:y val="0.1527779600466608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440835520559936"/>
                      <c:h val="0.21943715368912214"/>
                    </c:manualLayout>
                  </c15:layout>
                </c:ext>
                <c:ext xmlns:c16="http://schemas.microsoft.com/office/drawing/2014/chart" uri="{C3380CC4-5D6E-409C-BE32-E72D297353CC}">
                  <c16:uniqueId val="{00000003-E2D9-4AB8-B966-26C95C78083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fr-F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'Chaleur fatale '!$G$77:$G$78</c:f>
              <c:strCache>
                <c:ptCount val="2"/>
                <c:pt idx="0">
                  <c:v>Industries</c:v>
                </c:pt>
                <c:pt idx="1">
                  <c:v>Eaux usées - sortie de bâtiment</c:v>
                </c:pt>
              </c:strCache>
            </c:strRef>
          </c:cat>
          <c:val>
            <c:numRef>
              <c:f>'Chaleur fatale '!$H$77:$H$78</c:f>
              <c:numCache>
                <c:formatCode>General</c:formatCode>
                <c:ptCount val="2"/>
                <c:pt idx="0" formatCode="_-* #\ ##0\ _€_-;\-* #\ ##0\ _€_-;_-* &quot;-&quot;??\ _€_-;_-@_-">
                  <c:v>4822.5450957330004</c:v>
                </c:pt>
                <c:pt idx="1">
                  <c:v>222</c:v>
                </c:pt>
              </c:numCache>
            </c:numRef>
          </c:val>
          <c:extLst>
            <c:ext xmlns:c16="http://schemas.microsoft.com/office/drawing/2014/chart" uri="{C3380CC4-5D6E-409C-BE32-E72D297353CC}">
              <c16:uniqueId val="{00000004-E2D9-4AB8-B966-26C95C780838}"/>
            </c:ext>
          </c:extLst>
        </c:ser>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cap="all" baseline="0">
                <a:solidFill>
                  <a:schemeClr val="tx1">
                    <a:lumMod val="65000"/>
                    <a:lumOff val="35000"/>
                  </a:schemeClr>
                </a:solidFill>
              </a:rPr>
              <a:t>Répartition des consommations d'Energie par secteur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'Conso par secteur'!$C$2</c:f>
              <c:strCache>
                <c:ptCount val="1"/>
                <c:pt idx="0">
                  <c:v>Conso (MWh EF)</c:v>
                </c:pt>
              </c:strCache>
            </c:strRef>
          </c:tx>
          <c:dPt>
            <c:idx val="0"/>
            <c:bubble3D val="0"/>
            <c:spPr>
              <a:solidFill>
                <a:srgbClr val="C7471D"/>
              </a:solidFill>
              <a:ln w="19050">
                <a:solidFill>
                  <a:schemeClr val="lt1"/>
                </a:solidFill>
              </a:ln>
              <a:effectLst/>
            </c:spPr>
            <c:extLst>
              <c:ext xmlns:c16="http://schemas.microsoft.com/office/drawing/2014/chart" uri="{C3380CC4-5D6E-409C-BE32-E72D297353CC}">
                <c16:uniqueId val="{00000001-8B95-447E-A5F4-6521CED3CB81}"/>
              </c:ext>
            </c:extLst>
          </c:dPt>
          <c:dPt>
            <c:idx val="1"/>
            <c:bubble3D val="0"/>
            <c:spPr>
              <a:solidFill>
                <a:srgbClr val="EC694A"/>
              </a:solidFill>
              <a:ln w="19050">
                <a:solidFill>
                  <a:schemeClr val="lt1"/>
                </a:solidFill>
              </a:ln>
              <a:effectLst/>
            </c:spPr>
            <c:extLst>
              <c:ext xmlns:c16="http://schemas.microsoft.com/office/drawing/2014/chart" uri="{C3380CC4-5D6E-409C-BE32-E72D297353CC}">
                <c16:uniqueId val="{00000003-8B95-447E-A5F4-6521CED3CB81}"/>
              </c:ext>
            </c:extLst>
          </c:dPt>
          <c:dPt>
            <c:idx val="2"/>
            <c:bubble3D val="0"/>
            <c:spPr>
              <a:solidFill>
                <a:srgbClr val="FFD75A"/>
              </a:solidFill>
              <a:ln w="19050">
                <a:solidFill>
                  <a:schemeClr val="lt1"/>
                </a:solidFill>
              </a:ln>
              <a:effectLst/>
            </c:spPr>
            <c:extLst>
              <c:ext xmlns:c16="http://schemas.microsoft.com/office/drawing/2014/chart" uri="{C3380CC4-5D6E-409C-BE32-E72D297353CC}">
                <c16:uniqueId val="{00000005-8B95-447E-A5F4-6521CED3CB81}"/>
              </c:ext>
            </c:extLst>
          </c:dPt>
          <c:dPt>
            <c:idx val="3"/>
            <c:bubble3D val="0"/>
            <c:spPr>
              <a:solidFill>
                <a:srgbClr val="74C5C9"/>
              </a:solidFill>
              <a:ln w="19050">
                <a:solidFill>
                  <a:schemeClr val="lt1"/>
                </a:solidFill>
              </a:ln>
              <a:effectLst/>
            </c:spPr>
            <c:extLst>
              <c:ext xmlns:c16="http://schemas.microsoft.com/office/drawing/2014/chart" uri="{C3380CC4-5D6E-409C-BE32-E72D297353CC}">
                <c16:uniqueId val="{00000007-8B95-447E-A5F4-6521CED3CB81}"/>
              </c:ext>
            </c:extLst>
          </c:dPt>
          <c:dPt>
            <c:idx val="4"/>
            <c:bubble3D val="0"/>
            <c:spPr>
              <a:solidFill>
                <a:srgbClr val="96C01E"/>
              </a:solidFill>
              <a:ln w="19050">
                <a:solidFill>
                  <a:schemeClr val="lt1"/>
                </a:solidFill>
              </a:ln>
              <a:effectLst/>
            </c:spPr>
            <c:extLst>
              <c:ext xmlns:c16="http://schemas.microsoft.com/office/drawing/2014/chart" uri="{C3380CC4-5D6E-409C-BE32-E72D297353CC}">
                <c16:uniqueId val="{00000009-8B95-447E-A5F4-6521CED3CB81}"/>
              </c:ext>
            </c:extLst>
          </c:dPt>
          <c:dLbls>
            <c:dLbl>
              <c:idx val="0"/>
              <c:layout>
                <c:manualLayout>
                  <c:x val="2.8663699646239799E-2"/>
                  <c:y val="8.6757992396741201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B95-447E-A5F4-6521CED3CB81}"/>
                </c:ext>
              </c:extLst>
            </c:dLbl>
            <c:dLbl>
              <c:idx val="1"/>
              <c:layout>
                <c:manualLayout>
                  <c:x val="-1.7151660390277299E-2"/>
                  <c:y val="7.8264239574858396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B95-447E-A5F4-6521CED3CB81}"/>
                </c:ext>
              </c:extLst>
            </c:dLbl>
            <c:dLbl>
              <c:idx val="2"/>
              <c:layout>
                <c:manualLayout>
                  <c:x val="-5.4716231123283499E-2"/>
                  <c:y val="7.6899109201393701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8B95-447E-A5F4-6521CED3CB81}"/>
                </c:ext>
              </c:extLst>
            </c:dLbl>
            <c:dLbl>
              <c:idx val="4"/>
              <c:layout>
                <c:manualLayout>
                  <c:x val="8.6777739739054296E-2"/>
                  <c:y val="1.00107801699829E-2"/>
                </c:manualLayout>
              </c:layout>
              <c:tx>
                <c:rich>
                  <a:bodyPr/>
                  <a:lstStyle/>
                  <a:p>
                    <a:r>
                      <a:rPr lang="en-US"/>
                      <a:t>Agriculture</a:t>
                    </a:r>
                  </a:p>
                  <a:p>
                    <a:r>
                      <a:rPr lang="en-US"/>
                      <a:t>&lt;</a:t>
                    </a:r>
                    <a:r>
                      <a:rPr lang="en-US" baseline="0"/>
                      <a:t> 1%</a:t>
                    </a:r>
                    <a:endParaRPr lang="en-US"/>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9-8B95-447E-A5F4-6521CED3CB8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'Conso par secteur'!$B$3:$B$7</c:f>
              <c:strCache>
                <c:ptCount val="5"/>
                <c:pt idx="0">
                  <c:v>Résidentiel</c:v>
                </c:pt>
                <c:pt idx="1">
                  <c:v>Tranport</c:v>
                </c:pt>
                <c:pt idx="2">
                  <c:v>Tertiaire</c:v>
                </c:pt>
                <c:pt idx="3">
                  <c:v>Industrie</c:v>
                </c:pt>
                <c:pt idx="4">
                  <c:v>Agriculture</c:v>
                </c:pt>
              </c:strCache>
            </c:strRef>
          </c:cat>
          <c:val>
            <c:numRef>
              <c:f>'Conso par secteur'!$C$3:$C$7</c:f>
              <c:numCache>
                <c:formatCode>#,##0</c:formatCode>
                <c:ptCount val="5"/>
                <c:pt idx="0">
                  <c:v>237090.9</c:v>
                </c:pt>
                <c:pt idx="1">
                  <c:v>94270.39</c:v>
                </c:pt>
                <c:pt idx="2">
                  <c:v>74585.16</c:v>
                </c:pt>
                <c:pt idx="3">
                  <c:v>3255.8700000000008</c:v>
                </c:pt>
                <c:pt idx="4">
                  <c:v>2328.2099999999991</c:v>
                </c:pt>
              </c:numCache>
            </c:numRef>
          </c:val>
          <c:extLst>
            <c:ext xmlns:c16="http://schemas.microsoft.com/office/drawing/2014/chart" uri="{C3380CC4-5D6E-409C-BE32-E72D297353CC}">
              <c16:uniqueId val="{0000000A-8B95-447E-A5F4-6521CED3CB81}"/>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b="0" i="0" baseline="0">
                <a:effectLst/>
              </a:rPr>
              <a:t>Potentiel de production d'EnR&amp;R sur le territoire de la CC Haute Vallée de Chevreuse</a:t>
            </a:r>
            <a:endParaRPr lang="fr-FR"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'Potentiel global'!$B$29</c:f>
              <c:strCache>
                <c:ptCount val="1"/>
                <c:pt idx="0">
                  <c:v>PAC aérothermiques</c:v>
                </c:pt>
              </c:strCache>
            </c:strRef>
          </c:tx>
          <c:spPr>
            <a:solidFill>
              <a:schemeClr val="accent6">
                <a:lumMod val="40000"/>
                <a:lumOff val="60000"/>
              </a:schemeClr>
            </a:solidFill>
            <a:ln>
              <a:noFill/>
            </a:ln>
            <a:effectLst/>
          </c:spPr>
          <c:invertIfNegative val="0"/>
          <c:val>
            <c:numRef>
              <c:f>'Potentiel global'!$C$29</c:f>
              <c:numCache>
                <c:formatCode>General</c:formatCode>
                <c:ptCount val="1"/>
                <c:pt idx="0">
                  <c:v>48</c:v>
                </c:pt>
              </c:numCache>
            </c:numRef>
          </c:val>
          <c:extLst>
            <c:ext xmlns:c16="http://schemas.microsoft.com/office/drawing/2014/chart" uri="{C3380CC4-5D6E-409C-BE32-E72D297353CC}">
              <c16:uniqueId val="{00000000-7E07-48D0-BFF5-F8BF5E5A7872}"/>
            </c:ext>
          </c:extLst>
        </c:ser>
        <c:ser>
          <c:idx val="1"/>
          <c:order val="1"/>
          <c:tx>
            <c:strRef>
              <c:f>'Potentiel global'!$B$24</c:f>
              <c:strCache>
                <c:ptCount val="1"/>
                <c:pt idx="0">
                  <c:v>Solaire photovoltaïque</c:v>
                </c:pt>
              </c:strCache>
            </c:strRef>
          </c:tx>
          <c:spPr>
            <a:solidFill>
              <a:srgbClr val="FFFF00"/>
            </a:solidFill>
            <a:ln>
              <a:noFill/>
            </a:ln>
            <a:effectLst/>
          </c:spPr>
          <c:invertIfNegative val="0"/>
          <c:val>
            <c:numRef>
              <c:f>'Potentiel global'!$C$24</c:f>
              <c:numCache>
                <c:formatCode>General</c:formatCode>
                <c:ptCount val="1"/>
                <c:pt idx="0">
                  <c:v>50</c:v>
                </c:pt>
              </c:numCache>
            </c:numRef>
          </c:val>
          <c:extLst>
            <c:ext xmlns:c16="http://schemas.microsoft.com/office/drawing/2014/chart" uri="{C3380CC4-5D6E-409C-BE32-E72D297353CC}">
              <c16:uniqueId val="{00000001-7E07-48D0-BFF5-F8BF5E5A7872}"/>
            </c:ext>
          </c:extLst>
        </c:ser>
        <c:ser>
          <c:idx val="2"/>
          <c:order val="2"/>
          <c:tx>
            <c:strRef>
              <c:f>'Potentiel global'!$B$26</c:f>
              <c:strCache>
                <c:ptCount val="1"/>
                <c:pt idx="0">
                  <c:v>Bois énergie</c:v>
                </c:pt>
              </c:strCache>
            </c:strRef>
          </c:tx>
          <c:spPr>
            <a:solidFill>
              <a:schemeClr val="accent1">
                <a:lumMod val="75000"/>
              </a:schemeClr>
            </a:solidFill>
            <a:ln>
              <a:noFill/>
            </a:ln>
            <a:effectLst/>
          </c:spPr>
          <c:invertIfNegative val="0"/>
          <c:val>
            <c:numRef>
              <c:f>'Potentiel global'!$C$26</c:f>
              <c:numCache>
                <c:formatCode>General</c:formatCode>
                <c:ptCount val="1"/>
                <c:pt idx="0">
                  <c:v>33</c:v>
                </c:pt>
              </c:numCache>
            </c:numRef>
          </c:val>
          <c:extLst>
            <c:ext xmlns:c16="http://schemas.microsoft.com/office/drawing/2014/chart" uri="{C3380CC4-5D6E-409C-BE32-E72D297353CC}">
              <c16:uniqueId val="{00000002-7E07-48D0-BFF5-F8BF5E5A7872}"/>
            </c:ext>
          </c:extLst>
        </c:ser>
        <c:ser>
          <c:idx val="3"/>
          <c:order val="3"/>
          <c:tx>
            <c:strRef>
              <c:f>'Potentiel global'!$B$28</c:f>
              <c:strCache>
                <c:ptCount val="1"/>
                <c:pt idx="0">
                  <c:v>Géothermie </c:v>
                </c:pt>
              </c:strCache>
            </c:strRef>
          </c:tx>
          <c:spPr>
            <a:solidFill>
              <a:srgbClr val="00B0F0"/>
            </a:solidFill>
            <a:ln>
              <a:noFill/>
            </a:ln>
            <a:effectLst/>
          </c:spPr>
          <c:invertIfNegative val="0"/>
          <c:val>
            <c:numRef>
              <c:f>'Potentiel global'!$C$28</c:f>
              <c:numCache>
                <c:formatCode>General</c:formatCode>
                <c:ptCount val="1"/>
                <c:pt idx="0">
                  <c:v>27</c:v>
                </c:pt>
              </c:numCache>
            </c:numRef>
          </c:val>
          <c:extLst>
            <c:ext xmlns:c16="http://schemas.microsoft.com/office/drawing/2014/chart" uri="{C3380CC4-5D6E-409C-BE32-E72D297353CC}">
              <c16:uniqueId val="{00000003-7E07-48D0-BFF5-F8BF5E5A7872}"/>
            </c:ext>
          </c:extLst>
        </c:ser>
        <c:ser>
          <c:idx val="4"/>
          <c:order val="4"/>
          <c:tx>
            <c:strRef>
              <c:f>'Potentiel global'!$B$27</c:f>
              <c:strCache>
                <c:ptCount val="1"/>
                <c:pt idx="0">
                  <c:v>Méthanisation</c:v>
                </c:pt>
              </c:strCache>
            </c:strRef>
          </c:tx>
          <c:spPr>
            <a:solidFill>
              <a:srgbClr val="92D050"/>
            </a:solidFill>
            <a:ln>
              <a:noFill/>
            </a:ln>
            <a:effectLst/>
          </c:spPr>
          <c:invertIfNegative val="0"/>
          <c:val>
            <c:numRef>
              <c:f>'Potentiel global'!$C$27</c:f>
              <c:numCache>
                <c:formatCode>General</c:formatCode>
                <c:ptCount val="1"/>
                <c:pt idx="0">
                  <c:v>18</c:v>
                </c:pt>
              </c:numCache>
            </c:numRef>
          </c:val>
          <c:extLst>
            <c:ext xmlns:c16="http://schemas.microsoft.com/office/drawing/2014/chart" uri="{C3380CC4-5D6E-409C-BE32-E72D297353CC}">
              <c16:uniqueId val="{00000004-7E07-48D0-BFF5-F8BF5E5A7872}"/>
            </c:ext>
          </c:extLst>
        </c:ser>
        <c:ser>
          <c:idx val="5"/>
          <c:order val="5"/>
          <c:tx>
            <c:strRef>
              <c:f>'Potentiel global'!$B$25</c:f>
              <c:strCache>
                <c:ptCount val="1"/>
                <c:pt idx="0">
                  <c:v>Solaire thermique</c:v>
                </c:pt>
              </c:strCache>
            </c:strRef>
          </c:tx>
          <c:spPr>
            <a:solidFill>
              <a:srgbClr val="FFC000"/>
            </a:solidFill>
            <a:ln>
              <a:noFill/>
            </a:ln>
            <a:effectLst/>
          </c:spPr>
          <c:invertIfNegative val="0"/>
          <c:val>
            <c:numRef>
              <c:f>'Potentiel global'!$C$25</c:f>
              <c:numCache>
                <c:formatCode>General</c:formatCode>
                <c:ptCount val="1"/>
                <c:pt idx="0">
                  <c:v>11</c:v>
                </c:pt>
              </c:numCache>
            </c:numRef>
          </c:val>
          <c:extLst>
            <c:ext xmlns:c16="http://schemas.microsoft.com/office/drawing/2014/chart" uri="{C3380CC4-5D6E-409C-BE32-E72D297353CC}">
              <c16:uniqueId val="{00000005-7E07-48D0-BFF5-F8BF5E5A7872}"/>
            </c:ext>
          </c:extLst>
        </c:ser>
        <c:ser>
          <c:idx val="6"/>
          <c:order val="6"/>
          <c:tx>
            <c:strRef>
              <c:f>'Potentiel global'!$B$30</c:f>
              <c:strCache>
                <c:ptCount val="1"/>
                <c:pt idx="0">
                  <c:v>Récupération chaleur fatale</c:v>
                </c:pt>
              </c:strCache>
            </c:strRef>
          </c:tx>
          <c:spPr>
            <a:solidFill>
              <a:schemeClr val="tx1">
                <a:lumMod val="65000"/>
                <a:lumOff val="35000"/>
              </a:schemeClr>
            </a:solidFill>
            <a:ln>
              <a:noFill/>
            </a:ln>
            <a:effectLst/>
          </c:spPr>
          <c:invertIfNegative val="0"/>
          <c:val>
            <c:numRef>
              <c:f>'Potentiel global'!$C$30</c:f>
              <c:numCache>
                <c:formatCode>General</c:formatCode>
                <c:ptCount val="1"/>
                <c:pt idx="0">
                  <c:v>5</c:v>
                </c:pt>
              </c:numCache>
            </c:numRef>
          </c:val>
          <c:extLst>
            <c:ext xmlns:c16="http://schemas.microsoft.com/office/drawing/2014/chart" uri="{C3380CC4-5D6E-409C-BE32-E72D297353CC}">
              <c16:uniqueId val="{00000006-7E07-48D0-BFF5-F8BF5E5A7872}"/>
            </c:ext>
          </c:extLst>
        </c:ser>
        <c:dLbls>
          <c:showLegendKey val="0"/>
          <c:showVal val="0"/>
          <c:showCatName val="0"/>
          <c:showSerName val="0"/>
          <c:showPercent val="0"/>
          <c:showBubbleSize val="0"/>
        </c:dLbls>
        <c:gapWidth val="219"/>
        <c:overlap val="-27"/>
        <c:axId val="1132267696"/>
        <c:axId val="1132258184"/>
      </c:barChart>
      <c:catAx>
        <c:axId val="1132267696"/>
        <c:scaling>
          <c:orientation val="minMax"/>
        </c:scaling>
        <c:delete val="1"/>
        <c:axPos val="b"/>
        <c:numFmt formatCode="General" sourceLinked="1"/>
        <c:majorTickMark val="none"/>
        <c:minorTickMark val="none"/>
        <c:tickLblPos val="nextTo"/>
        <c:crossAx val="1132258184"/>
        <c:crosses val="autoZero"/>
        <c:auto val="1"/>
        <c:lblAlgn val="ctr"/>
        <c:lblOffset val="100"/>
        <c:noMultiLvlLbl val="0"/>
      </c:catAx>
      <c:valAx>
        <c:axId val="1132258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Potentiel de production (GWh)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32267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r>
              <a:rPr lang="en-US" sz="1200" b="1" cap="all" baseline="0">
                <a:solidFill>
                  <a:schemeClr val="tx1">
                    <a:lumMod val="65000"/>
                    <a:lumOff val="35000"/>
                  </a:schemeClr>
                </a:solidFill>
              </a:rPr>
              <a:t>Répartition de la consommation d'électricité par secteur</a:t>
            </a:r>
          </a:p>
        </c:rich>
      </c:tx>
      <c:layout>
        <c:manualLayout>
          <c:xMode val="edge"/>
          <c:yMode val="edge"/>
          <c:x val="0.18860885829504501"/>
          <c:y val="1.38985406532314E-2"/>
        </c:manualLayout>
      </c:layout>
      <c:overlay val="0"/>
      <c:spPr>
        <a:noFill/>
        <a:ln>
          <a:noFill/>
        </a:ln>
        <a:effectLst/>
      </c:spPr>
      <c:txPr>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Feuil1!$C$18</c:f>
              <c:strCache>
                <c:ptCount val="1"/>
                <c:pt idx="0">
                  <c:v>Conso (GWh)</c:v>
                </c:pt>
              </c:strCache>
            </c:strRef>
          </c:tx>
          <c:dPt>
            <c:idx val="0"/>
            <c:bubble3D val="0"/>
            <c:spPr>
              <a:solidFill>
                <a:srgbClr val="C7471D"/>
              </a:solidFill>
              <a:ln w="19050">
                <a:solidFill>
                  <a:schemeClr val="lt1"/>
                </a:solidFill>
              </a:ln>
              <a:effectLst/>
            </c:spPr>
            <c:extLst>
              <c:ext xmlns:c16="http://schemas.microsoft.com/office/drawing/2014/chart" uri="{C3380CC4-5D6E-409C-BE32-E72D297353CC}">
                <c16:uniqueId val="{00000001-43C0-43A5-A718-2C043C7AF02A}"/>
              </c:ext>
            </c:extLst>
          </c:dPt>
          <c:dPt>
            <c:idx val="1"/>
            <c:bubble3D val="0"/>
            <c:spPr>
              <a:solidFill>
                <a:srgbClr val="FFD75A"/>
              </a:solidFill>
              <a:ln w="19050">
                <a:solidFill>
                  <a:schemeClr val="lt1"/>
                </a:solidFill>
              </a:ln>
              <a:effectLst/>
            </c:spPr>
            <c:extLst>
              <c:ext xmlns:c16="http://schemas.microsoft.com/office/drawing/2014/chart" uri="{C3380CC4-5D6E-409C-BE32-E72D297353CC}">
                <c16:uniqueId val="{00000003-43C0-43A5-A718-2C043C7AF02A}"/>
              </c:ext>
            </c:extLst>
          </c:dPt>
          <c:dPt>
            <c:idx val="2"/>
            <c:bubble3D val="0"/>
            <c:spPr>
              <a:solidFill>
                <a:srgbClr val="74C5C9"/>
              </a:solidFill>
              <a:ln w="19050">
                <a:solidFill>
                  <a:schemeClr val="lt1"/>
                </a:solidFill>
              </a:ln>
              <a:effectLst/>
            </c:spPr>
            <c:extLst>
              <c:ext xmlns:c16="http://schemas.microsoft.com/office/drawing/2014/chart" uri="{C3380CC4-5D6E-409C-BE32-E72D297353CC}">
                <c16:uniqueId val="{00000005-43C0-43A5-A718-2C043C7AF02A}"/>
              </c:ext>
            </c:extLst>
          </c:dPt>
          <c:dPt>
            <c:idx val="3"/>
            <c:bubble3D val="0"/>
            <c:spPr>
              <a:solidFill>
                <a:srgbClr val="96C01E"/>
              </a:solidFill>
              <a:ln w="19050">
                <a:solidFill>
                  <a:schemeClr val="lt1"/>
                </a:solidFill>
              </a:ln>
              <a:effectLst/>
            </c:spPr>
            <c:extLst>
              <c:ext xmlns:c16="http://schemas.microsoft.com/office/drawing/2014/chart" uri="{C3380CC4-5D6E-409C-BE32-E72D297353CC}">
                <c16:uniqueId val="{00000007-43C0-43A5-A718-2C043C7AF02A}"/>
              </c:ext>
            </c:extLst>
          </c:dPt>
          <c:dPt>
            <c:idx val="4"/>
            <c:bubble3D val="0"/>
            <c:spPr>
              <a:solidFill>
                <a:srgbClr val="CFCFCF"/>
              </a:solidFill>
              <a:ln w="19050">
                <a:solidFill>
                  <a:schemeClr val="lt1"/>
                </a:solidFill>
              </a:ln>
              <a:effectLst/>
            </c:spPr>
            <c:extLst>
              <c:ext xmlns:c16="http://schemas.microsoft.com/office/drawing/2014/chart" uri="{C3380CC4-5D6E-409C-BE32-E72D297353CC}">
                <c16:uniqueId val="{00000009-43C0-43A5-A718-2C043C7AF02A}"/>
              </c:ext>
            </c:extLst>
          </c:dPt>
          <c:dLbls>
            <c:dLbl>
              <c:idx val="0"/>
              <c:layout>
                <c:manualLayout>
                  <c:x val="1.07513164352998E-2"/>
                  <c:y val="2.9414565013980602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3C0-43A5-A718-2C043C7AF02A}"/>
                </c:ext>
              </c:extLst>
            </c:dLbl>
            <c:dLbl>
              <c:idx val="1"/>
              <c:layout>
                <c:manualLayout>
                  <c:x val="-3.6759836507317102E-2"/>
                  <c:y val="7.884594689736060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3C0-43A5-A718-2C043C7AF02A}"/>
                </c:ext>
              </c:extLst>
            </c:dLbl>
            <c:dLbl>
              <c:idx val="2"/>
              <c:layout>
                <c:manualLayout>
                  <c:x val="-9.5422948224766393E-2"/>
                  <c:y val="4.6810722669395302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43C0-43A5-A718-2C043C7AF02A}"/>
                </c:ext>
              </c:extLst>
            </c:dLbl>
            <c:dLbl>
              <c:idx val="3"/>
              <c:tx>
                <c:rich>
                  <a:bodyPr/>
                  <a:lstStyle/>
                  <a:p>
                    <a:fld id="{01D1E5A7-DB5F-4C61-A501-91ADBF43D2FE}" type="CATEGORYNAME">
                      <a:rPr lang="en-US"/>
                      <a:pPr/>
                      <a:t>[NOM DE CATÉGORIE]</a:t>
                    </a:fld>
                    <a:endParaRPr lang="en-US" baseline="0"/>
                  </a:p>
                  <a:p>
                    <a:r>
                      <a:rPr lang="en-US"/>
                      <a:t>&lt;1%</a:t>
                    </a:r>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7-43C0-43A5-A718-2C043C7AF02A}"/>
                </c:ext>
              </c:extLst>
            </c:dLbl>
            <c:dLbl>
              <c:idx val="4"/>
              <c:layout>
                <c:manualLayout>
                  <c:x val="0.160491746111911"/>
                  <c:y val="1.7875493151959201E-2"/>
                </c:manualLayout>
              </c:layout>
              <c:tx>
                <c:rich>
                  <a:bodyPr/>
                  <a:lstStyle/>
                  <a:p>
                    <a:fld id="{81582A85-6441-4374-88DD-83B7C130CB3D}" type="CATEGORYNAME">
                      <a:rPr lang="en-US"/>
                      <a:pPr/>
                      <a:t>[NOM DE CATÉGORIE]</a:t>
                    </a:fld>
                    <a:endParaRPr lang="en-US" baseline="0"/>
                  </a:p>
                  <a:p>
                    <a:r>
                      <a:rPr lang="en-US"/>
                      <a:t>&lt;1%</a:t>
                    </a:r>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9-43C0-43A5-A718-2C043C7AF0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Feuil1!$B$19:$B$23</c:f>
              <c:strCache>
                <c:ptCount val="5"/>
                <c:pt idx="0">
                  <c:v>Résidentiel</c:v>
                </c:pt>
                <c:pt idx="1">
                  <c:v>Tertiaire</c:v>
                </c:pt>
                <c:pt idx="2">
                  <c:v>Industrie</c:v>
                </c:pt>
                <c:pt idx="3">
                  <c:v>Agriculture</c:v>
                </c:pt>
                <c:pt idx="4">
                  <c:v>Secteur Inconnu</c:v>
                </c:pt>
              </c:strCache>
            </c:strRef>
          </c:cat>
          <c:val>
            <c:numRef>
              <c:f>Feuil1!$C$19:$C$23</c:f>
              <c:numCache>
                <c:formatCode>0.0</c:formatCode>
                <c:ptCount val="5"/>
                <c:pt idx="0">
                  <c:v>76.967942798999999</c:v>
                </c:pt>
                <c:pt idx="1">
                  <c:v>37.006610491322988</c:v>
                </c:pt>
                <c:pt idx="2">
                  <c:v>3.9293102466900001</c:v>
                </c:pt>
                <c:pt idx="3">
                  <c:v>0.34265104213000003</c:v>
                </c:pt>
                <c:pt idx="4">
                  <c:v>0.21092850324000001</c:v>
                </c:pt>
              </c:numCache>
            </c:numRef>
          </c:val>
          <c:extLst>
            <c:ext xmlns:c16="http://schemas.microsoft.com/office/drawing/2014/chart" uri="{C3380CC4-5D6E-409C-BE32-E72D297353CC}">
              <c16:uniqueId val="{0000000A-43C0-43A5-A718-2C043C7AF02A}"/>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r>
              <a:rPr lang="fr-FR" sz="1200" b="1" cap="all" baseline="0">
                <a:solidFill>
                  <a:schemeClr val="tx1">
                    <a:lumMod val="65000"/>
                    <a:lumOff val="35000"/>
                  </a:schemeClr>
                </a:solidFill>
              </a:rPr>
              <a:t>Répartition de la consommation de gaz par secteur</a:t>
            </a:r>
          </a:p>
        </c:rich>
      </c:tx>
      <c:layout>
        <c:manualLayout>
          <c:xMode val="edge"/>
          <c:yMode val="edge"/>
          <c:x val="0.11892344706911601"/>
          <c:y val="9.2592592592592605E-3"/>
        </c:manualLayout>
      </c:layout>
      <c:overlay val="0"/>
      <c:spPr>
        <a:noFill/>
        <a:ln>
          <a:noFill/>
        </a:ln>
        <a:effectLst/>
      </c:spPr>
      <c:txPr>
        <a:bodyPr rot="0" spcFirstLastPara="1" vertOverflow="ellipsis" vert="horz" wrap="square" anchor="ctr" anchorCtr="1"/>
        <a:lstStyle/>
        <a:p>
          <a:pPr>
            <a:defRPr sz="1200" b="1" i="0" u="none" strike="noStrike" kern="1200" cap="all"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Gaz!$C$5030</c:f>
              <c:strCache>
                <c:ptCount val="1"/>
                <c:pt idx="0">
                  <c:v>Conso (GWh)</c:v>
                </c:pt>
              </c:strCache>
            </c:strRef>
          </c:tx>
          <c:dPt>
            <c:idx val="0"/>
            <c:bubble3D val="0"/>
            <c:spPr>
              <a:solidFill>
                <a:srgbClr val="C7471D"/>
              </a:solidFill>
              <a:ln w="19050">
                <a:solidFill>
                  <a:schemeClr val="lt1"/>
                </a:solidFill>
              </a:ln>
              <a:effectLst/>
            </c:spPr>
            <c:extLst>
              <c:ext xmlns:c16="http://schemas.microsoft.com/office/drawing/2014/chart" uri="{C3380CC4-5D6E-409C-BE32-E72D297353CC}">
                <c16:uniqueId val="{00000001-7BC3-4BCD-AC7F-A79E6F74EDEC}"/>
              </c:ext>
            </c:extLst>
          </c:dPt>
          <c:dPt>
            <c:idx val="1"/>
            <c:bubble3D val="0"/>
            <c:spPr>
              <a:solidFill>
                <a:srgbClr val="FFD75A"/>
              </a:solidFill>
              <a:ln w="19050">
                <a:solidFill>
                  <a:schemeClr val="lt1"/>
                </a:solidFill>
              </a:ln>
              <a:effectLst/>
            </c:spPr>
            <c:extLst>
              <c:ext xmlns:c16="http://schemas.microsoft.com/office/drawing/2014/chart" uri="{C3380CC4-5D6E-409C-BE32-E72D297353CC}">
                <c16:uniqueId val="{00000003-7BC3-4BCD-AC7F-A79E6F74EDEC}"/>
              </c:ext>
            </c:extLst>
          </c:dPt>
          <c:dPt>
            <c:idx val="2"/>
            <c:bubble3D val="0"/>
            <c:spPr>
              <a:solidFill>
                <a:srgbClr val="74C5C9"/>
              </a:solidFill>
              <a:ln w="19050">
                <a:solidFill>
                  <a:schemeClr val="lt1"/>
                </a:solidFill>
              </a:ln>
              <a:effectLst/>
            </c:spPr>
            <c:extLst>
              <c:ext xmlns:c16="http://schemas.microsoft.com/office/drawing/2014/chart" uri="{C3380CC4-5D6E-409C-BE32-E72D297353CC}">
                <c16:uniqueId val="{00000005-7BC3-4BCD-AC7F-A79E6F74EDEC}"/>
              </c:ext>
            </c:extLst>
          </c:dPt>
          <c:dPt>
            <c:idx val="3"/>
            <c:bubble3D val="0"/>
            <c:spPr>
              <a:solidFill>
                <a:schemeClr val="accent3"/>
              </a:solidFill>
              <a:ln w="19050">
                <a:solidFill>
                  <a:schemeClr val="lt1"/>
                </a:solidFill>
              </a:ln>
              <a:effectLst/>
            </c:spPr>
            <c:extLst>
              <c:ext xmlns:c16="http://schemas.microsoft.com/office/drawing/2014/chart" uri="{C3380CC4-5D6E-409C-BE32-E72D297353CC}">
                <c16:uniqueId val="{00000007-7BC3-4BCD-AC7F-A79E6F74EDEC}"/>
              </c:ext>
            </c:extLst>
          </c:dPt>
          <c:dPt>
            <c:idx val="4"/>
            <c:bubble3D val="0"/>
            <c:spPr>
              <a:solidFill>
                <a:srgbClr val="96C01E"/>
              </a:solidFill>
              <a:ln w="19050">
                <a:solidFill>
                  <a:schemeClr val="lt1"/>
                </a:solidFill>
              </a:ln>
              <a:effectLst/>
            </c:spPr>
            <c:extLst>
              <c:ext xmlns:c16="http://schemas.microsoft.com/office/drawing/2014/chart" uri="{C3380CC4-5D6E-409C-BE32-E72D297353CC}">
                <c16:uniqueId val="{00000009-7BC3-4BCD-AC7F-A79E6F74EDEC}"/>
              </c:ext>
            </c:extLst>
          </c:dPt>
          <c:dLbls>
            <c:dLbl>
              <c:idx val="0"/>
              <c:layout>
                <c:manualLayout>
                  <c:x val="3.8411636045494302E-2"/>
                  <c:y val="-4.5384951881014901E-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7BC3-4BCD-AC7F-A79E6F74EDEC}"/>
                </c:ext>
              </c:extLst>
            </c:dLbl>
            <c:dLbl>
              <c:idx val="1"/>
              <c:layout>
                <c:manualLayout>
                  <c:x val="-2.4808398950131198E-2"/>
                  <c:y val="8.611548556430449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7BC3-4BCD-AC7F-A79E6F74EDEC}"/>
                </c:ext>
              </c:extLst>
            </c:dLbl>
            <c:dLbl>
              <c:idx val="2"/>
              <c:layout>
                <c:manualLayout>
                  <c:x val="-0.169319006999125"/>
                  <c:y val="-1.6951006124236599E-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7BC3-4BCD-AC7F-A79E6F74EDEC}"/>
                </c:ext>
              </c:extLst>
            </c:dLbl>
            <c:dLbl>
              <c:idx val="3"/>
              <c:layout>
                <c:manualLayout>
                  <c:x val="8.3333333333332794E-3"/>
                  <c:y val="3.4167760279965001E-2"/>
                </c:manualLayout>
              </c:layout>
              <c:tx>
                <c:rich>
                  <a:bodyPr/>
                  <a:lstStyle/>
                  <a:p>
                    <a:fld id="{95874C88-E134-4369-A7EC-09BC1E6E5B2E}" type="CATEGORYNAME">
                      <a:rPr lang="en-US"/>
                      <a:pPr/>
                      <a:t>[NOM DE CATÉGORIE]</a:t>
                    </a:fld>
                    <a:endParaRPr lang="en-US" baseline="0"/>
                  </a:p>
                  <a:p>
                    <a:r>
                      <a:rPr lang="en-US"/>
                      <a:t>&lt;1%</a:t>
                    </a:r>
                  </a:p>
                </c:rich>
              </c:tx>
              <c:showLegendKey val="0"/>
              <c:showVal val="0"/>
              <c:showCatName val="1"/>
              <c:showSerName val="0"/>
              <c:showPercent val="1"/>
              <c:showBubbleSize val="0"/>
              <c:separator>
</c:separator>
              <c:extLst>
                <c:ext xmlns:c15="http://schemas.microsoft.com/office/drawing/2012/chart" uri="{CE6537A1-D6FC-4f65-9D91-7224C49458BB}">
                  <c15:layout>
                    <c:manualLayout>
                      <c:w val="0.24444444444444399"/>
                      <c:h val="0.16666666666666699"/>
                    </c:manualLayout>
                  </c15:layout>
                  <c15:dlblFieldTable/>
                  <c15:showDataLabelsRange val="0"/>
                </c:ext>
                <c:ext xmlns:c16="http://schemas.microsoft.com/office/drawing/2014/chart" uri="{C3380CC4-5D6E-409C-BE32-E72D297353CC}">
                  <c16:uniqueId val="{00000007-7BC3-4BCD-AC7F-A79E6F74EDEC}"/>
                </c:ext>
              </c:extLst>
            </c:dLbl>
            <c:dLbl>
              <c:idx val="4"/>
              <c:layout>
                <c:manualLayout>
                  <c:x val="0.16405129046369199"/>
                  <c:y val="1.78353747448236E-2"/>
                </c:manualLayout>
              </c:layout>
              <c:tx>
                <c:rich>
                  <a:bodyPr/>
                  <a:lstStyle/>
                  <a:p>
                    <a:fld id="{789BB4CA-36D4-4E0F-B0D3-9FBB8500E475}" type="CATEGORYNAME">
                      <a:rPr lang="en-US"/>
                      <a:pPr/>
                      <a:t>[NOM DE CATÉGORIE]</a:t>
                    </a:fld>
                    <a:endParaRPr lang="en-US" baseline="0"/>
                  </a:p>
                  <a:p>
                    <a:r>
                      <a:rPr lang="en-US"/>
                      <a:t>&lt;1%</a:t>
                    </a:r>
                  </a:p>
                </c:rich>
              </c:tx>
              <c:showLegendKey val="0"/>
              <c:showVal val="0"/>
              <c:showCatName val="1"/>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9-7BC3-4BCD-AC7F-A79E6F74ED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Gaz!$B$5031:$B$5035</c:f>
              <c:strCache>
                <c:ptCount val="5"/>
                <c:pt idx="0">
                  <c:v>Résidentiel</c:v>
                </c:pt>
                <c:pt idx="1">
                  <c:v>Tertiaire</c:v>
                </c:pt>
                <c:pt idx="2">
                  <c:v>Industrie</c:v>
                </c:pt>
                <c:pt idx="3">
                  <c:v>Secteur Inconnu</c:v>
                </c:pt>
                <c:pt idx="4">
                  <c:v>Agriculture</c:v>
                </c:pt>
              </c:strCache>
            </c:strRef>
          </c:cat>
          <c:val>
            <c:numRef>
              <c:f>Gaz!$C$5031:$C$5035</c:f>
              <c:numCache>
                <c:formatCode>#,##0</c:formatCode>
                <c:ptCount val="5"/>
                <c:pt idx="0">
                  <c:v>118.82233152000001</c:v>
                </c:pt>
                <c:pt idx="1">
                  <c:v>34.24423247</c:v>
                </c:pt>
                <c:pt idx="2">
                  <c:v>5.23944717</c:v>
                </c:pt>
                <c:pt idx="3">
                  <c:v>0.21692702999999999</c:v>
                </c:pt>
                <c:pt idx="4">
                  <c:v>0.12119298000000001</c:v>
                </c:pt>
              </c:numCache>
            </c:numRef>
          </c:val>
          <c:extLst>
            <c:ext xmlns:c16="http://schemas.microsoft.com/office/drawing/2014/chart" uri="{C3380CC4-5D6E-409C-BE32-E72D297353CC}">
              <c16:uniqueId val="{0000000A-7BC3-4BCD-AC7F-A79E6F74EDEC}"/>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b="1" cap="all" baseline="0">
                <a:solidFill>
                  <a:schemeClr val="tx1">
                    <a:lumMod val="65000"/>
                    <a:lumOff val="35000"/>
                  </a:schemeClr>
                </a:solidFill>
              </a:rPr>
              <a:t>Consommation par secteur  et par habitant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'Comp conso dpt région'!$A$10</c:f>
              <c:strCache>
                <c:ptCount val="1"/>
                <c:pt idx="0">
                  <c:v>Résidentiel</c:v>
                </c:pt>
              </c:strCache>
            </c:strRef>
          </c:tx>
          <c:spPr>
            <a:solidFill>
              <a:srgbClr val="0070C0"/>
            </a:solidFill>
            <a:ln>
              <a:noFill/>
            </a:ln>
            <a:effectLst/>
          </c:spPr>
          <c:invertIfNegative val="0"/>
          <c:cat>
            <c:strRef>
              <c:f>'Comp conso dpt région'!$B$9:$D$9</c:f>
              <c:strCache>
                <c:ptCount val="3"/>
                <c:pt idx="0">
                  <c:v>CC de la Haute Vallée de Chevreuse</c:v>
                </c:pt>
                <c:pt idx="1">
                  <c:v>Yvelines</c:v>
                </c:pt>
                <c:pt idx="2">
                  <c:v>Ile-de-France</c:v>
                </c:pt>
              </c:strCache>
            </c:strRef>
          </c:cat>
          <c:val>
            <c:numRef>
              <c:f>'Comp conso dpt région'!$B$10:$D$10</c:f>
              <c:numCache>
                <c:formatCode>#,##0</c:formatCode>
                <c:ptCount val="3"/>
                <c:pt idx="0">
                  <c:v>9.4165898800540209</c:v>
                </c:pt>
                <c:pt idx="1">
                  <c:v>6.90854277047411</c:v>
                </c:pt>
                <c:pt idx="2">
                  <c:v>6.2138003337643477</c:v>
                </c:pt>
              </c:numCache>
            </c:numRef>
          </c:val>
          <c:extLst>
            <c:ext xmlns:c16="http://schemas.microsoft.com/office/drawing/2014/chart" uri="{C3380CC4-5D6E-409C-BE32-E72D297353CC}">
              <c16:uniqueId val="{00000000-E3BD-4B1D-8F19-5279B95F3E0A}"/>
            </c:ext>
          </c:extLst>
        </c:ser>
        <c:ser>
          <c:idx val="3"/>
          <c:order val="1"/>
          <c:tx>
            <c:strRef>
              <c:f>'Comp conso dpt région'!$A$11</c:f>
              <c:strCache>
                <c:ptCount val="1"/>
                <c:pt idx="0">
                  <c:v>Transport</c:v>
                </c:pt>
              </c:strCache>
            </c:strRef>
          </c:tx>
          <c:spPr>
            <a:solidFill>
              <a:srgbClr val="EC694A"/>
            </a:solidFill>
            <a:ln>
              <a:noFill/>
            </a:ln>
            <a:effectLst/>
          </c:spPr>
          <c:invertIfNegative val="0"/>
          <c:cat>
            <c:strRef>
              <c:f>'Comp conso dpt région'!$B$9:$D$9</c:f>
              <c:strCache>
                <c:ptCount val="3"/>
                <c:pt idx="0">
                  <c:v>CC de la Haute Vallée de Chevreuse</c:v>
                </c:pt>
                <c:pt idx="1">
                  <c:v>Yvelines</c:v>
                </c:pt>
                <c:pt idx="2">
                  <c:v>Ile-de-France</c:v>
                </c:pt>
              </c:strCache>
            </c:strRef>
          </c:cat>
          <c:val>
            <c:numRef>
              <c:f>'Comp conso dpt région'!$B$11:$D$11</c:f>
              <c:numCache>
                <c:formatCode>#,##0</c:formatCode>
                <c:ptCount val="3"/>
                <c:pt idx="0">
                  <c:v>3.7441572007307968</c:v>
                </c:pt>
                <c:pt idx="1">
                  <c:v>5.4992138554778434</c:v>
                </c:pt>
                <c:pt idx="2">
                  <c:v>3.4541772082530349</c:v>
                </c:pt>
              </c:numCache>
            </c:numRef>
          </c:val>
          <c:extLst>
            <c:ext xmlns:c16="http://schemas.microsoft.com/office/drawing/2014/chart" uri="{C3380CC4-5D6E-409C-BE32-E72D297353CC}">
              <c16:uniqueId val="{00000001-E3BD-4B1D-8F19-5279B95F3E0A}"/>
            </c:ext>
          </c:extLst>
        </c:ser>
        <c:ser>
          <c:idx val="1"/>
          <c:order val="2"/>
          <c:tx>
            <c:strRef>
              <c:f>'Comp conso dpt région'!$A$12</c:f>
              <c:strCache>
                <c:ptCount val="1"/>
                <c:pt idx="0">
                  <c:v>Tertiaire</c:v>
                </c:pt>
              </c:strCache>
            </c:strRef>
          </c:tx>
          <c:spPr>
            <a:solidFill>
              <a:srgbClr val="FFD75A"/>
            </a:solidFill>
            <a:ln>
              <a:noFill/>
            </a:ln>
            <a:effectLst/>
          </c:spPr>
          <c:invertIfNegative val="0"/>
          <c:cat>
            <c:strRef>
              <c:f>'Comp conso dpt région'!$B$9:$D$9</c:f>
              <c:strCache>
                <c:ptCount val="3"/>
                <c:pt idx="0">
                  <c:v>CC de la Haute Vallée de Chevreuse</c:v>
                </c:pt>
                <c:pt idx="1">
                  <c:v>Yvelines</c:v>
                </c:pt>
                <c:pt idx="2">
                  <c:v>Ile-de-France</c:v>
                </c:pt>
              </c:strCache>
            </c:strRef>
          </c:cat>
          <c:val>
            <c:numRef>
              <c:f>'Comp conso dpt région'!$B$12:$D$12</c:f>
              <c:numCache>
                <c:formatCode>#,##0</c:formatCode>
                <c:ptCount val="3"/>
                <c:pt idx="0">
                  <c:v>2.9623147191993011</c:v>
                </c:pt>
                <c:pt idx="1">
                  <c:v>4.1982948570197438</c:v>
                </c:pt>
                <c:pt idx="2">
                  <c:v>4.6214716946173651</c:v>
                </c:pt>
              </c:numCache>
            </c:numRef>
          </c:val>
          <c:extLst>
            <c:ext xmlns:c16="http://schemas.microsoft.com/office/drawing/2014/chart" uri="{C3380CC4-5D6E-409C-BE32-E72D297353CC}">
              <c16:uniqueId val="{00000002-E3BD-4B1D-8F19-5279B95F3E0A}"/>
            </c:ext>
          </c:extLst>
        </c:ser>
        <c:ser>
          <c:idx val="2"/>
          <c:order val="3"/>
          <c:tx>
            <c:strRef>
              <c:f>'Comp conso dpt région'!$A$13</c:f>
              <c:strCache>
                <c:ptCount val="1"/>
                <c:pt idx="0">
                  <c:v>Industrie</c:v>
                </c:pt>
              </c:strCache>
            </c:strRef>
          </c:tx>
          <c:spPr>
            <a:solidFill>
              <a:srgbClr val="74C5C9"/>
            </a:solidFill>
            <a:ln>
              <a:noFill/>
            </a:ln>
            <a:effectLst/>
          </c:spPr>
          <c:invertIfNegative val="0"/>
          <c:cat>
            <c:strRef>
              <c:f>'Comp conso dpt région'!$B$9:$D$9</c:f>
              <c:strCache>
                <c:ptCount val="3"/>
                <c:pt idx="0">
                  <c:v>CC de la Haute Vallée de Chevreuse</c:v>
                </c:pt>
                <c:pt idx="1">
                  <c:v>Yvelines</c:v>
                </c:pt>
                <c:pt idx="2">
                  <c:v>Ile-de-France</c:v>
                </c:pt>
              </c:strCache>
            </c:strRef>
          </c:cat>
          <c:val>
            <c:numRef>
              <c:f>'Comp conso dpt région'!$B$13:$D$13</c:f>
              <c:numCache>
                <c:formatCode>#,##0</c:formatCode>
                <c:ptCount val="3"/>
                <c:pt idx="0">
                  <c:v>0.129314083723886</c:v>
                </c:pt>
                <c:pt idx="1">
                  <c:v>2.103980991667628</c:v>
                </c:pt>
                <c:pt idx="2">
                  <c:v>1.5667222070722031</c:v>
                </c:pt>
              </c:numCache>
            </c:numRef>
          </c:val>
          <c:extLst>
            <c:ext xmlns:c16="http://schemas.microsoft.com/office/drawing/2014/chart" uri="{C3380CC4-5D6E-409C-BE32-E72D297353CC}">
              <c16:uniqueId val="{00000003-E3BD-4B1D-8F19-5279B95F3E0A}"/>
            </c:ext>
          </c:extLst>
        </c:ser>
        <c:ser>
          <c:idx val="4"/>
          <c:order val="4"/>
          <c:tx>
            <c:strRef>
              <c:f>'Comp conso dpt région'!$A$14</c:f>
              <c:strCache>
                <c:ptCount val="1"/>
                <c:pt idx="0">
                  <c:v>Agriculture</c:v>
                </c:pt>
              </c:strCache>
            </c:strRef>
          </c:tx>
          <c:spPr>
            <a:solidFill>
              <a:srgbClr val="96C01E"/>
            </a:solidFill>
            <a:ln>
              <a:noFill/>
            </a:ln>
            <a:effectLst/>
          </c:spPr>
          <c:invertIfNegative val="0"/>
          <c:cat>
            <c:strRef>
              <c:f>'Comp conso dpt région'!$B$9:$D$9</c:f>
              <c:strCache>
                <c:ptCount val="3"/>
                <c:pt idx="0">
                  <c:v>CC de la Haute Vallée de Chevreuse</c:v>
                </c:pt>
                <c:pt idx="1">
                  <c:v>Yvelines</c:v>
                </c:pt>
                <c:pt idx="2">
                  <c:v>Ile-de-France</c:v>
                </c:pt>
              </c:strCache>
            </c:strRef>
          </c:cat>
          <c:val>
            <c:numRef>
              <c:f>'Comp conso dpt région'!$B$14:$D$14</c:f>
              <c:numCache>
                <c:formatCode>#,##0</c:formatCode>
                <c:ptCount val="3"/>
                <c:pt idx="0">
                  <c:v>9.2470013503852505E-2</c:v>
                </c:pt>
                <c:pt idx="1">
                  <c:v>9.4599736087451605E-2</c:v>
                </c:pt>
                <c:pt idx="2">
                  <c:v>6.7196496909613601E-2</c:v>
                </c:pt>
              </c:numCache>
            </c:numRef>
          </c:val>
          <c:extLst>
            <c:ext xmlns:c16="http://schemas.microsoft.com/office/drawing/2014/chart" uri="{C3380CC4-5D6E-409C-BE32-E72D297353CC}">
              <c16:uniqueId val="{00000004-E3BD-4B1D-8F19-5279B95F3E0A}"/>
            </c:ext>
          </c:extLst>
        </c:ser>
        <c:dLbls>
          <c:showLegendKey val="0"/>
          <c:showVal val="0"/>
          <c:showCatName val="0"/>
          <c:showSerName val="0"/>
          <c:showPercent val="0"/>
          <c:showBubbleSize val="0"/>
        </c:dLbls>
        <c:gapWidth val="150"/>
        <c:overlap val="100"/>
        <c:axId val="-341910448"/>
        <c:axId val="-341908672"/>
      </c:barChart>
      <c:catAx>
        <c:axId val="-34191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1908672"/>
        <c:crosses val="autoZero"/>
        <c:auto val="1"/>
        <c:lblAlgn val="ctr"/>
        <c:lblOffset val="100"/>
        <c:noMultiLvlLbl val="0"/>
      </c:catAx>
      <c:valAx>
        <c:axId val="-341908672"/>
        <c:scaling>
          <c:orientation val="minMax"/>
          <c:max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Consommation (MWh/hab)</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1910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b="1"/>
              <a:t>EVOLUTION DES CONSOMMATIONS D'ENERGIE (GWH)</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'Analyse - brute conso'!$A$15:$A$19</c:f>
              <c:numCache>
                <c:formatCode>General</c:formatCode>
                <c:ptCount val="5"/>
                <c:pt idx="0">
                  <c:v>2005</c:v>
                </c:pt>
                <c:pt idx="1">
                  <c:v>2010</c:v>
                </c:pt>
                <c:pt idx="2">
                  <c:v>2012</c:v>
                </c:pt>
                <c:pt idx="3">
                  <c:v>2015</c:v>
                </c:pt>
                <c:pt idx="4">
                  <c:v>2018</c:v>
                </c:pt>
              </c:numCache>
            </c:numRef>
          </c:cat>
          <c:val>
            <c:numRef>
              <c:f>'Analyse - brute conso'!$B$15:$B$19</c:f>
              <c:numCache>
                <c:formatCode>General</c:formatCode>
                <c:ptCount val="5"/>
                <c:pt idx="0">
                  <c:v>469.21</c:v>
                </c:pt>
                <c:pt idx="1">
                  <c:v>435.94</c:v>
                </c:pt>
                <c:pt idx="2">
                  <c:v>435.55</c:v>
                </c:pt>
                <c:pt idx="3">
                  <c:v>425.68</c:v>
                </c:pt>
                <c:pt idx="4">
                  <c:v>421.1</c:v>
                </c:pt>
              </c:numCache>
            </c:numRef>
          </c:val>
          <c:extLst>
            <c:ext xmlns:c16="http://schemas.microsoft.com/office/drawing/2014/chart" uri="{C3380CC4-5D6E-409C-BE32-E72D297353CC}">
              <c16:uniqueId val="{00000000-E893-45FC-A066-2A6747EACD24}"/>
            </c:ext>
          </c:extLst>
        </c:ser>
        <c:dLbls>
          <c:dLblPos val="outEnd"/>
          <c:showLegendKey val="0"/>
          <c:showVal val="1"/>
          <c:showCatName val="0"/>
          <c:showSerName val="0"/>
          <c:showPercent val="0"/>
          <c:showBubbleSize val="0"/>
        </c:dLbls>
        <c:gapWidth val="150"/>
        <c:axId val="-342162544"/>
        <c:axId val="-342160224"/>
      </c:barChart>
      <c:catAx>
        <c:axId val="-34216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2160224"/>
        <c:crosses val="autoZero"/>
        <c:auto val="1"/>
        <c:lblAlgn val="ctr"/>
        <c:lblOffset val="100"/>
        <c:noMultiLvlLbl val="0"/>
      </c:catAx>
      <c:valAx>
        <c:axId val="-342160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Consommation</a:t>
                </a:r>
                <a:r>
                  <a:rPr lang="fr-FR" baseline="0"/>
                  <a:t> (GWh)</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2162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a:t>Répartition de la production photovoltaïque </a:t>
            </a:r>
            <a:br>
              <a:rPr lang="fr-FR" sz="1400"/>
            </a:br>
            <a:r>
              <a:rPr lang="fr-FR" sz="1400"/>
              <a:t>par commune en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316541283008272"/>
          <c:y val="0.32120484203097599"/>
          <c:w val="0.36691762898136998"/>
          <c:h val="0.6234434613199120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1A-4E4A-A35C-2215C5DED4F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71A-4E4A-A35C-2215C5DED4F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71A-4E4A-A35C-2215C5DED4FC}"/>
              </c:ext>
            </c:extLst>
          </c:dPt>
          <c:dLbls>
            <c:dLbl>
              <c:idx val="1"/>
              <c:layout>
                <c:manualLayout>
                  <c:x val="-9.9009900990099001E-2"/>
                  <c:y val="-9.677078443305600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71A-4E4A-A35C-2215C5DED4F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fr-F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PV_Com!$D$11:$D$13</c:f>
              <c:strCache>
                <c:ptCount val="3"/>
                <c:pt idx="0">
                  <c:v>Chevreuse</c:v>
                </c:pt>
                <c:pt idx="1">
                  <c:v>Le Mesnil-Saint-Denis</c:v>
                </c:pt>
                <c:pt idx="2">
                  <c:v>Saint-Rémy-lès-Chevreuse</c:v>
                </c:pt>
              </c:strCache>
            </c:strRef>
          </c:cat>
          <c:val>
            <c:numRef>
              <c:f>PV_Com!$E$11:$E$13</c:f>
              <c:numCache>
                <c:formatCode>_-* #\ ##0_-;\-* #\ ##0_-;_-* "-"??_-;_-@_-</c:formatCode>
                <c:ptCount val="3"/>
                <c:pt idx="0">
                  <c:v>31592</c:v>
                </c:pt>
                <c:pt idx="1">
                  <c:v>51105</c:v>
                </c:pt>
                <c:pt idx="2">
                  <c:v>23454</c:v>
                </c:pt>
              </c:numCache>
            </c:numRef>
          </c:val>
          <c:extLst>
            <c:ext xmlns:c16="http://schemas.microsoft.com/office/drawing/2014/chart" uri="{C3380CC4-5D6E-409C-BE32-E72D297353CC}">
              <c16:uniqueId val="{00000006-F71A-4E4A-A35C-2215C5DED4FC}"/>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fr-FR" sz="1100" b="1" dirty="0"/>
              <a:t>REPARTITION DE LA PRODUCTION D’ENERGIE</a:t>
            </a:r>
            <a:r>
              <a:rPr lang="fr-FR" sz="1100" b="1" baseline="0" dirty="0"/>
              <a:t> RENOUVELABLE </a:t>
            </a:r>
            <a:r>
              <a:rPr lang="fr-FR" sz="1100" b="1" dirty="0"/>
              <a:t>EN 2020</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E9C-4C62-911D-3398CA997DD2}"/>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FE9C-4C62-911D-3398CA997DD2}"/>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5-FE9C-4C62-911D-3398CA997DD2}"/>
              </c:ext>
            </c:extLst>
          </c:dPt>
          <c:dLbls>
            <c:dLbl>
              <c:idx val="0"/>
              <c:layout>
                <c:manualLayout>
                  <c:x val="-0.19861089238845148"/>
                  <c:y val="0.10081572431802849"/>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211001749781276"/>
                      <c:h val="0.15196341832286531"/>
                    </c:manualLayout>
                  </c15:layout>
                </c:ext>
                <c:ext xmlns:c16="http://schemas.microsoft.com/office/drawing/2014/chart" uri="{C3380CC4-5D6E-409C-BE32-E72D297353CC}">
                  <c16:uniqueId val="{00000001-FE9C-4C62-911D-3398CA997DD2}"/>
                </c:ext>
              </c:extLst>
            </c:dLbl>
            <c:dLbl>
              <c:idx val="1"/>
              <c:layout>
                <c:manualLayout>
                  <c:x val="0.17856026962770016"/>
                  <c:y val="0.19788558128858216"/>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3025308518715885"/>
                      <c:h val="0.28895480046126304"/>
                    </c:manualLayout>
                  </c15:layout>
                </c:ext>
                <c:ext xmlns:c16="http://schemas.microsoft.com/office/drawing/2014/chart" uri="{C3380CC4-5D6E-409C-BE32-E72D297353CC}">
                  <c16:uniqueId val="{00000003-FE9C-4C62-911D-3398CA997DD2}"/>
                </c:ext>
              </c:extLst>
            </c:dLbl>
            <c:dLbl>
              <c:idx val="2"/>
              <c:layout>
                <c:manualLayout>
                  <c:x val="-0.18333333333333332"/>
                  <c:y val="-3.476409006362923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E9C-4C62-911D-3398CA997DD2}"/>
                </c:ext>
              </c:extLst>
            </c:dLbl>
            <c:spPr>
              <a:solidFill>
                <a:prstClr val="white"/>
              </a:solidFill>
              <a:ln>
                <a:solidFill>
                  <a:prstClr val="black">
                    <a:lumMod val="25000"/>
                    <a:lumOff val="75000"/>
                  </a:prstClr>
                </a:solid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dk1">
                        <a:lumMod val="65000"/>
                        <a:lumOff val="35000"/>
                      </a:schemeClr>
                    </a:solidFill>
                    <a:latin typeface="+mn-lt"/>
                    <a:ea typeface="+mn-ea"/>
                    <a:cs typeface="+mn-cs"/>
                  </a:defRPr>
                </a:pPr>
                <a:endParaRPr lang="fr-F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'Prod EnR'!$I$15:$I$17</c:f>
              <c:strCache>
                <c:ptCount val="3"/>
                <c:pt idx="0">
                  <c:v>Photovoltaïque</c:v>
                </c:pt>
                <c:pt idx="1">
                  <c:v>Bois-énergie Chaufferie industrielle</c:v>
                </c:pt>
                <c:pt idx="2">
                  <c:v>Bois-énergie domestique</c:v>
                </c:pt>
              </c:strCache>
            </c:strRef>
          </c:cat>
          <c:val>
            <c:numRef>
              <c:f>'Prod EnR'!$J$15:$J$17</c:f>
              <c:numCache>
                <c:formatCode>General</c:formatCode>
                <c:ptCount val="3"/>
                <c:pt idx="0">
                  <c:v>0.106151</c:v>
                </c:pt>
                <c:pt idx="1">
                  <c:v>0.89800000000000002</c:v>
                </c:pt>
                <c:pt idx="2">
                  <c:v>22</c:v>
                </c:pt>
              </c:numCache>
            </c:numRef>
          </c:val>
          <c:extLst>
            <c:ext xmlns:c16="http://schemas.microsoft.com/office/drawing/2014/chart" uri="{C3380CC4-5D6E-409C-BE32-E72D297353CC}">
              <c16:uniqueId val="{00000006-FE9C-4C62-911D-3398CA997DD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Répartition des créations d'emplois </a:t>
            </a:r>
            <a:br>
              <a:rPr lang="fr-FR"/>
            </a:br>
            <a:r>
              <a:rPr lang="fr-FR"/>
              <a:t>par filière EnR&amp;R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34307939632545897"/>
          <c:y val="0.206184747739866"/>
          <c:w val="0.36661898512685898"/>
          <c:h val="0.611031641878099"/>
        </c:manualLayout>
      </c:layout>
      <c:pieChart>
        <c:varyColors val="1"/>
        <c:ser>
          <c:idx val="0"/>
          <c:order val="0"/>
          <c:dPt>
            <c:idx val="0"/>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1-B9F6-4149-91C2-7590B08D1C31}"/>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3-B9F6-4149-91C2-7590B08D1C3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9F6-4149-91C2-7590B08D1C3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9F6-4149-91C2-7590B08D1C3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9F6-4149-91C2-7590B08D1C3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'Emplois - GES'!$I$28:$I$32</c:f>
              <c:strCache>
                <c:ptCount val="5"/>
                <c:pt idx="0">
                  <c:v>Bois énergie</c:v>
                </c:pt>
                <c:pt idx="1">
                  <c:v>Géothermie</c:v>
                </c:pt>
                <c:pt idx="2">
                  <c:v>PV</c:v>
                </c:pt>
                <c:pt idx="3">
                  <c:v>Solaire thermique</c:v>
                </c:pt>
                <c:pt idx="4">
                  <c:v>PAC</c:v>
                </c:pt>
              </c:strCache>
            </c:strRef>
          </c:cat>
          <c:val>
            <c:numRef>
              <c:f>'Emplois - GES'!$K$28:$K$32</c:f>
              <c:numCache>
                <c:formatCode>0.0</c:formatCode>
                <c:ptCount val="5"/>
                <c:pt idx="0">
                  <c:v>7.7773799837266102</c:v>
                </c:pt>
                <c:pt idx="1">
                  <c:v>0.89103114135660899</c:v>
                </c:pt>
                <c:pt idx="2">
                  <c:v>2.7713773208077521</c:v>
                </c:pt>
                <c:pt idx="3">
                  <c:v>0.88188845328796495</c:v>
                </c:pt>
                <c:pt idx="4">
                  <c:v>6.7709224055033701</c:v>
                </c:pt>
              </c:numCache>
            </c:numRef>
          </c:val>
          <c:extLst>
            <c:ext xmlns:c16="http://schemas.microsoft.com/office/drawing/2014/chart" uri="{C3380CC4-5D6E-409C-BE32-E72D297353CC}">
              <c16:uniqueId val="{0000000A-B9F6-4149-91C2-7590B08D1C31}"/>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B9F6-4149-91C2-7590B08D1C3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B9F6-4149-91C2-7590B08D1C3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B9F6-4149-91C2-7590B08D1C3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B9F6-4149-91C2-7590B08D1C3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B9F6-4149-91C2-7590B08D1C3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6-B9F6-4149-91C2-7590B08D1C3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8-B9F6-4149-91C2-7590B08D1C3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1A-B9F6-4149-91C2-7590B08D1C3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C-B9F6-4149-91C2-7590B08D1C3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E-B9F6-4149-91C2-7590B08D1C3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20-B9F6-4149-91C2-7590B08D1C3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'Emplois - GES'!$I$28:$I$32</c:f>
              <c:strCache>
                <c:ptCount val="5"/>
                <c:pt idx="0">
                  <c:v>Bois énergie</c:v>
                </c:pt>
                <c:pt idx="1">
                  <c:v>Géothermie</c:v>
                </c:pt>
                <c:pt idx="2">
                  <c:v>PV</c:v>
                </c:pt>
                <c:pt idx="3">
                  <c:v>Solaire thermique</c:v>
                </c:pt>
                <c:pt idx="4">
                  <c:v>PAC</c:v>
                </c:pt>
              </c:strCache>
            </c:strRef>
          </c:cat>
          <c:val>
            <c:numRef>
              <c:f>'Emplois - GES'!$K$26:$K$36</c:f>
              <c:numCache>
                <c:formatCode>0.0</c:formatCode>
                <c:ptCount val="11"/>
                <c:pt idx="0">
                  <c:v>2.356908795029216</c:v>
                </c:pt>
                <c:pt idx="1">
                  <c:v>5.4204711886973884</c:v>
                </c:pt>
                <c:pt idx="2">
                  <c:v>7.7773799837266102</c:v>
                </c:pt>
                <c:pt idx="3">
                  <c:v>0.89103114135660899</c:v>
                </c:pt>
                <c:pt idx="4">
                  <c:v>2.7713773208077521</c:v>
                </c:pt>
                <c:pt idx="5">
                  <c:v>0.88188845328796495</c:v>
                </c:pt>
                <c:pt idx="6">
                  <c:v>6.7709224055033701</c:v>
                </c:pt>
                <c:pt idx="7">
                  <c:v>1.7584436718692209</c:v>
                </c:pt>
                <c:pt idx="8">
                  <c:v>0.92607811228641201</c:v>
                </c:pt>
                <c:pt idx="9">
                  <c:v>0</c:v>
                </c:pt>
                <c:pt idx="10">
                  <c:v>4.4570604334640134</c:v>
                </c:pt>
              </c:numCache>
            </c:numRef>
          </c:val>
          <c:extLst>
            <c:ext xmlns:c16="http://schemas.microsoft.com/office/drawing/2014/chart" uri="{C3380CC4-5D6E-409C-BE32-E72D297353CC}">
              <c16:uniqueId val="{00000021-B9F6-4149-91C2-7590B08D1C3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AKA2">
  <a:themeElements>
    <a:clrScheme name="AKA2">
      <a:dk1>
        <a:sysClr val="windowText" lastClr="000000"/>
      </a:dk1>
      <a:lt1>
        <a:sysClr val="window" lastClr="FFFFFF"/>
      </a:lt1>
      <a:dk2>
        <a:srgbClr val="44546A"/>
      </a:dk2>
      <a:lt2>
        <a:srgbClr val="E7E6E6"/>
      </a:lt2>
      <a:accent1>
        <a:srgbClr val="C7471D"/>
      </a:accent1>
      <a:accent2>
        <a:srgbClr val="EC694A"/>
      </a:accent2>
      <a:accent3>
        <a:srgbClr val="96C01E"/>
      </a:accent3>
      <a:accent4>
        <a:srgbClr val="FFD75A"/>
      </a:accent4>
      <a:accent5>
        <a:srgbClr val="74C5C9"/>
      </a:accent5>
      <a:accent6>
        <a:srgbClr val="2B4594"/>
      </a:accent6>
      <a:hlink>
        <a:srgbClr val="2B4594"/>
      </a:hlink>
      <a:folHlink>
        <a:srgbClr val="2364B4"/>
      </a:folHlink>
    </a:clrScheme>
    <a:fontScheme name="AKAfuturamedium">
      <a:majorFont>
        <a:latin typeface="Futura-Medium"/>
        <a:ea typeface=""/>
        <a:cs typeface=""/>
      </a:majorFont>
      <a:minorFont>
        <a:latin typeface="Calibri"/>
        <a:ea typeface=""/>
        <a:cs typeface=""/>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AKA2" id="{7B1B84F1-4F95-418C-81F2-8B9FEF1FE5D9}" vid="{58787245-5CB7-4382-8D00-C4F58CC05F5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w="http://schemas.openxmlformats.org/wordprocessingml/2006/main" xmlns:w15="http://schemas.microsoft.com/office/word/2012/wordml" xmlns:w14="http://schemas.microsoft.com/office/word/2010/wordml" xmlns:r="http://schemas.openxmlformats.org/officeDocument/2006/relationships" xmlns:m="http://schemas.openxmlformats.org/officeDocument/2006/math" xmlns:wp="http://schemas.openxmlformats.org/drawingml/2006/wordprocessingDrawing" xmlns:a="http://schemas.openxmlformats.org/drawingml/2006/main" xmlns:wp14="http://schemas.microsoft.com/office/word/2010/wordprocessingDrawing"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EC65352F4614F4CA7C66CD79B69A179" ma:contentTypeVersion="9" ma:contentTypeDescription="Crée un document." ma:contentTypeScope="" ma:versionID="f36b30b3df2376a625ae135775d4e849">
  <xsd:schema xmlns:xsd="http://www.w3.org/2001/XMLSchema" xmlns:xs="http://www.w3.org/2001/XMLSchema" xmlns:p="http://schemas.microsoft.com/office/2006/metadata/properties" xmlns:ns2="9e3cacff-454f-4d11-91c5-94100c0caa66" xmlns:ns3="3dca32e0-5b4f-4c14-80c4-e307bbfcfeee" targetNamespace="http://schemas.microsoft.com/office/2006/metadata/properties" ma:root="true" ma:fieldsID="6f9c1507191c782fbc757655c500a698" ns2:_="" ns3:_="">
    <xsd:import namespace="9e3cacff-454f-4d11-91c5-94100c0caa66"/>
    <xsd:import namespace="3dca32e0-5b4f-4c14-80c4-e307bbfcfeee"/>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3cacff-454f-4d11-91c5-94100c0caa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alises d’images" ma:readOnly="false" ma:fieldId="{5cf76f15-5ced-4ddc-b409-7134ff3c332f}" ma:taxonomyMulti="true" ma:sspId="28bfb014-fc3e-4c9b-a7ad-393f24a18750"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dca32e0-5b4f-4c14-80c4-e307bbfcfeee"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8f13ff4-ffea-4ed7-bf0d-cd905f5eaf6a}" ma:internalName="TaxCatchAll" ma:showField="CatchAllData" ma:web="3dca32e0-5b4f-4c14-80c4-e307bbfcfe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dca32e0-5b4f-4c14-80c4-e307bbfcfeee" xsi:nil="true"/>
    <lcf76f155ced4ddcb4097134ff3c332f xmlns="9e3cacff-454f-4d11-91c5-94100c0caa6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A3CF24C-A2F1-E444-AC8A-DBA74335E7F0}">
  <ds:schemaRefs>
    <ds:schemaRef ds:uri="http://schemas.openxmlformats.org/wordprocessingml/2006/main"/>
    <ds:schemaRef ds:uri="http://schemas.microsoft.com/office/word/2012/wordml"/>
    <ds:schemaRef ds:uri="http://schemas.microsoft.com/office/word/2010/wordml"/>
    <ds:schemaRef ds:uri="http://schemas.openxmlformats.org/officeDocument/2006/relationships"/>
    <ds:schemaRef ds:uri="http://schemas.openxmlformats.org/officeDocument/2006/math"/>
    <ds:schemaRef ds:uri="http://schemas.openxmlformats.org/drawingml/2006/wordprocessingDrawing"/>
    <ds:schemaRef ds:uri="http://schemas.openxmlformats.org/drawingml/2006/main"/>
    <ds:schemaRef ds:uri="http://schemas.microsoft.com/office/word/2010/wordprocessingDrawing"/>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customXml/itemProps2.xml><?xml version="1.0" encoding="utf-8"?>
<ds:datastoreItem xmlns:ds="http://schemas.openxmlformats.org/officeDocument/2006/customXml" ds:itemID="{F46362BA-5010-4410-9B78-A13E8C8D9698}"/>
</file>

<file path=customXml/itemProps3.xml><?xml version="1.0" encoding="utf-8"?>
<ds:datastoreItem xmlns:ds="http://schemas.openxmlformats.org/officeDocument/2006/customXml" ds:itemID="{912D5578-3CD6-48CC-95D6-E959420837CB}"/>
</file>

<file path=customXml/itemProps4.xml><?xml version="1.0" encoding="utf-8"?>
<ds:datastoreItem xmlns:ds="http://schemas.openxmlformats.org/officeDocument/2006/customXml" ds:itemID="{3F6CD6DC-2C56-4681-A357-5F1C8D306064}"/>
</file>

<file path=docProps/app.xml><?xml version="1.0" encoding="utf-8"?>
<Properties xmlns="http://schemas.openxmlformats.org/officeDocument/2006/extended-properties" xmlns:vt="http://schemas.openxmlformats.org/officeDocument/2006/docPropsVTypes">
  <Template>Franp News centre formation</Template>
  <TotalTime>162</TotalTime>
  <Pages>79</Pages>
  <Words>18699</Words>
  <Characters>110474</Characters>
  <Application>Microsoft Office Word</Application>
  <DocSecurity>0</DocSecurity>
  <Lines>920</Lines>
  <Paragraphs>257</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128916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Goupe Areva</dc:subject>
  <dc:creator>Valérie MORANTON</dc:creator>
  <cp:lastModifiedBy>Julie ROY</cp:lastModifiedBy>
  <cp:revision>18</cp:revision>
  <cp:lastPrinted>2019-12-16T12:45:00Z</cp:lastPrinted>
  <dcterms:created xsi:type="dcterms:W3CDTF">2023-03-13T09:37:00Z</dcterms:created>
  <dcterms:modified xsi:type="dcterms:W3CDTF">2023-03-15T14:44:00Z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CID">
    <vt:i4>1036</vt:i4>
  </property>
  <property fmtid="{D5CDD505-2E9C-101B-9397-08002B2CF9AE}" pid="3" name="UseDefaultLanguage">
    <vt:bool>true</vt:bool>
  </property>
  <property fmtid="{D5CDD505-2E9C-101B-9397-08002B2CF9AE}" pid="4" name="Version">
    <vt:i4>99022200</vt:i4>
  </property>
  <property fmtid="{D5CDD505-2E9C-101B-9397-08002B2CF9AE}" pid="5" name="ContentTypeId">
    <vt:lpwstr>0x0101001EC65352F4614F4CA7C66CD79B69A179</vt:lpwstr>
  </property>
</Properties>
</file>